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Times New Roman" w:hAnsi="Times New Roman" w:cs="Times New Roman" w:eastAsia="Times New Roman"/>
          <w:b/>
          <w:i w:val="0"/>
          <w:sz w:val="28"/>
        </w:rPr>
        <w:t>Good day, esteemed members of the commission. Thank you for the chance to present this coursework on UX research methods, with a case study on a fintech mobile app called NovaPay.</w:t>
      </w:r>
    </w:p>
    <w:p>
      <w:pPr>
        <w:spacing w:after="120"/>
        <w:ind w:firstLine="709"/>
        <w:jc w:val="both"/>
      </w:pPr>
      <w:r>
        <w:rPr>
          <w:rFonts w:ascii="Times New Roman" w:hAnsi="Times New Roman" w:cs="Times New Roman" w:eastAsia="Times New Roman"/>
          <w:b w:val="0"/>
          <w:i w:val="0"/>
          <w:sz w:val="28"/>
        </w:rPr>
        <w:t>My coursework is titled 'UX research methods: a case study of a fintech mobile app'. It evaluates which research methods earn their place in a regulated mobile fintech research cycle, and shows the result on a hypothetical cross-border payments app, NovaPay.</w:t>
      </w:r>
    </w:p>
    <w:p>
      <w:pPr>
        <w:spacing w:after="120"/>
        <w:ind w:firstLine="709"/>
        <w:jc w:val="both"/>
      </w:pPr>
      <w:r>
        <w:rPr>
          <w:rFonts w:ascii="Times New Roman" w:hAnsi="Times New Roman" w:cs="Times New Roman" w:eastAsia="Times New Roman"/>
          <w:b w:val="0"/>
          <w:i w:val="0"/>
          <w:sz w:val="28"/>
        </w:rPr>
        <w:t>The topic matters because mobile fintech has scaled faster than the design discipline serving it. EY recorded a jump in consumer fintech adoption from 16% in 2015 to 64% in 2019, Statista counts more than 2.5 billion mobile-banking users in 2024, and Signicat puts the average European digital-onboarding drop-off at 63%. Every percentage point of friction translates to lost customers, so the choice of research method becomes a strategic question, not a procedural one.</w:t>
      </w:r>
    </w:p>
    <w:p>
      <w:pPr>
        <w:spacing w:after="120"/>
        <w:ind w:firstLine="709"/>
        <w:jc w:val="both"/>
      </w:pPr>
      <w:r>
        <w:rPr>
          <w:rFonts w:ascii="Times New Roman" w:hAnsi="Times New Roman" w:cs="Times New Roman" w:eastAsia="Times New Roman"/>
          <w:b w:val="0"/>
          <w:i w:val="0"/>
          <w:sz w:val="28"/>
        </w:rPr>
        <w:t>There are fourteen UX research methods that fintech teams could plausibly use, and the practitioner literature lacks a disciplined way to choose between them. Teams default to whichever method their lead researcher used last, regardless of fit. My coursework closes that gap with a fintech-specific rubric.</w:t>
      </w:r>
    </w:p>
    <w:p>
      <w:pPr>
        <w:spacing w:after="120"/>
        <w:ind w:firstLine="709"/>
        <w:jc w:val="both"/>
      </w:pPr>
      <w:r>
        <w:rPr>
          <w:rFonts w:ascii="Times New Roman" w:hAnsi="Times New Roman" w:cs="Times New Roman" w:eastAsia="Times New Roman"/>
          <w:b w:val="0"/>
          <w:i w:val="0"/>
          <w:sz w:val="28"/>
        </w:rPr>
        <w:t>The aim is to evaluate UX research methods for fintech and to show that evaluation in a case study. Five objectives carry the aim: map the taxonomy of methods, score them on seven fintech-specific criteria, build a case-study design with explicit sample-size logic, apply the design to NovaPay's onboarding flow, and translate the findings into prioritised recommendations and a KPI plan.</w:t>
      </w:r>
    </w:p>
    <w:p>
      <w:pPr>
        <w:spacing w:after="120"/>
        <w:ind w:firstLine="709"/>
        <w:jc w:val="both"/>
      </w:pPr>
      <w:r>
        <w:rPr>
          <w:rFonts w:ascii="Times New Roman" w:hAnsi="Times New Roman" w:cs="Times New Roman" w:eastAsia="Times New Roman"/>
          <w:b w:val="0"/>
          <w:i w:val="0"/>
          <w:sz w:val="28"/>
        </w:rPr>
        <w:t>Chapter 1 places the contemporary method stack on the Rohrer landscape of Nielsen Norman Group and roots it in ISO 9241-210 human-centred design, the PSD2 directive, the European Accessibility Act enforceable since June 2025, and WCAG 2.2. The chapter shows that the field is rich on individual methods and thin on rubrics that match those methods to a regulated mobile context.</w:t>
      </w:r>
    </w:p>
    <w:p>
      <w:pPr>
        <w:spacing w:after="120"/>
        <w:ind w:firstLine="709"/>
        <w:jc w:val="both"/>
      </w:pPr>
      <w:r>
        <w:rPr>
          <w:rFonts w:ascii="Times New Roman" w:hAnsi="Times New Roman" w:cs="Times New Roman" w:eastAsia="Times New Roman"/>
          <w:b w:val="0"/>
          <w:i w:val="0"/>
          <w:sz w:val="28"/>
        </w:rPr>
        <w:t>The methods landscape splits into quantitative tools - surveys, A/B tests, analytics and behavioural metrics - and qualitative ones - in-depth interviews, contextual inquiry, diary studies and usability testing. Mixed-methods frameworks like Double Diamond, Lean UX and Design Thinking sit on top of both groups and force a method choice per phase, not per project.</w:t>
      </w:r>
    </w:p>
    <w:p>
      <w:pPr>
        <w:spacing w:after="120"/>
        <w:ind w:firstLine="709"/>
        <w:jc w:val="both"/>
      </w:pPr>
      <w:r>
        <w:rPr>
          <w:rFonts w:ascii="Times New Roman" w:hAnsi="Times New Roman" w:cs="Times New Roman" w:eastAsia="Times New Roman"/>
          <w:b w:val="0"/>
          <w:i w:val="0"/>
          <w:sz w:val="28"/>
        </w:rPr>
        <w:t>Chapter 2 introduces a seven-criterion fit rubric: cost, time-to-insight, evidence type, bias risk, regulatory fit, scalability and strategic value. Fourteen methods were scored 1 to 5 on each criterion with equal weights.</w:t>
      </w:r>
    </w:p>
    <w:p>
      <w:pPr>
        <w:spacing w:after="120"/>
        <w:ind w:firstLine="709"/>
        <w:jc w:val="both"/>
      </w:pPr>
      <w:r>
        <w:rPr>
          <w:rFonts w:ascii="Times New Roman" w:hAnsi="Times New Roman" w:cs="Times New Roman" w:eastAsia="Times New Roman"/>
          <w:b w:val="0"/>
          <w:i w:val="0"/>
          <w:sz w:val="28"/>
        </w:rPr>
        <w:t>The top five methods are online surveys, heuristic evaluation, cognitive walkthrough, tree testing and first-click testing, with total scores between 4.30 and 4.50. In-depth interviews scored ninth at 3.80 but were kept in the design for strategic value, because the rubric undervalues qualitative depth. The final triangulation uses four instruments: eight interviews, twelve unmoderated tests, a 220-respondent SUS survey, and a heuristic pre-pass.</w:t>
      </w:r>
    </w:p>
    <w:p>
      <w:pPr>
        <w:spacing w:after="120"/>
        <w:ind w:firstLine="709"/>
        <w:jc w:val="both"/>
      </w:pPr>
      <w:r>
        <w:rPr>
          <w:rFonts w:ascii="Times New Roman" w:hAnsi="Times New Roman" w:cs="Times New Roman" w:eastAsia="Times New Roman"/>
          <w:b w:val="0"/>
          <w:i w:val="0"/>
          <w:sz w:val="28"/>
        </w:rPr>
        <w:t>Sample sizes were justified analytically. The Nielsen-Landauer 1993 closed-form model with L equal to 0.31 predicts that eight participants in an interview round cover 94.9% of detectable problems, and twelve unmoderated testers cover 98.8%. The 220-respondent survey size targets a plus-minus 2.3 point confidence interval on the SUS mean, using the Sauro 2011 benchmark dispersion.</w:t>
      </w:r>
    </w:p>
    <w:p>
      <w:pPr>
        <w:spacing w:after="120"/>
        <w:ind w:firstLine="709"/>
        <w:jc w:val="both"/>
      </w:pPr>
      <w:r>
        <w:rPr>
          <w:rFonts w:ascii="Times New Roman" w:hAnsi="Times New Roman" w:cs="Times New Roman" w:eastAsia="Times New Roman"/>
          <w:b w:val="0"/>
          <w:i w:val="0"/>
          <w:sz w:val="28"/>
        </w:rPr>
        <w:t>Chapter 3 applies the design to NovaPay. The simulated cohort of one thousand users completes onboarding at 38.5%, against a Signicat European benchmark of 37%. The simulated SUS test with twelve respondents gives a mean of 71.7, which is in the 'Good' band and at the 63rd percentile of the Sauro benchmark.</w:t>
      </w:r>
    </w:p>
    <w:p>
      <w:pPr>
        <w:spacing w:after="120"/>
        <w:ind w:firstLine="709"/>
        <w:jc w:val="both"/>
      </w:pPr>
      <w:r>
        <w:rPr>
          <w:rFonts w:ascii="Times New Roman" w:hAnsi="Times New Roman" w:cs="Times New Roman" w:eastAsia="Times New Roman"/>
          <w:b w:val="0"/>
          <w:i w:val="0"/>
          <w:sz w:val="28"/>
        </w:rPr>
        <w:t>The single largest drop on the funnel is 29.9 percentage points at KYC document upload, not at the liveness check. Two findings - a screen-reader focus trap in the wallet picker and a foreign-exchange-fee surprise on the confirmation screen - would have been missed by any single method on its own. That is the case for triangulation in one slide.</w:t>
      </w:r>
    </w:p>
    <w:p>
      <w:pPr>
        <w:spacing w:after="120"/>
        <w:ind w:firstLine="709"/>
        <w:jc w:val="both"/>
      </w:pPr>
      <w:r>
        <w:rPr>
          <w:rFonts w:ascii="Times New Roman" w:hAnsi="Times New Roman" w:cs="Times New Roman" w:eastAsia="Times New Roman"/>
          <w:b w:val="0"/>
          <w:i w:val="0"/>
          <w:sz w:val="28"/>
        </w:rPr>
        <w:t>The seven triangulated findings convert into nine recommendations. Six high-leverage ones are visible on the slide: rewrite the upload error copy, show KYC document examples, add client-side blur detection, default to biometric strong customer authentication, move the FX-fee preview earlier in the flow, and fix the wallet-picker focus trap to keep European Accessibility Act compliance.</w:t>
      </w:r>
    </w:p>
    <w:p>
      <w:pPr>
        <w:spacing w:after="120"/>
        <w:ind w:firstLine="709"/>
        <w:jc w:val="both"/>
      </w:pPr>
      <w:r>
        <w:rPr>
          <w:rFonts w:ascii="Times New Roman" w:hAnsi="Times New Roman" w:cs="Times New Roman" w:eastAsia="Times New Roman"/>
          <w:b w:val="0"/>
          <w:i w:val="0"/>
          <w:sz w:val="28"/>
        </w:rPr>
        <w:t>Cycle one ships five of those recommendations with measurable KPI targets: KYC step completion from 70.1% to at least 85%, SUS from 71.7 to at least 76, first-transfer attempt within seven days from 38.5% to at least 45%, help-search to ticket ratio from 0.21 down to at most 0.15, and screen-reader wallet-add task success from 41.7% to at least 80%. Measurement happens at week two and week four of a 50% feature-flagged release.</w:t>
      </w:r>
    </w:p>
    <w:p>
      <w:pPr>
        <w:spacing w:after="120"/>
        <w:ind w:firstLine="709"/>
        <w:jc w:val="both"/>
      </w:pPr>
      <w:r>
        <w:rPr>
          <w:rFonts w:ascii="Times New Roman" w:hAnsi="Times New Roman" w:cs="Times New Roman" w:eastAsia="Times New Roman"/>
          <w:b w:val="0"/>
          <w:i w:val="0"/>
          <w:sz w:val="28"/>
        </w:rPr>
        <w:t>The research question - which UX research methods earn their place in a regulated mobile fintech research cycle - has a defensible answer. It is the four-method triangulation of Chapter 2, the seven-finding output of Chapter 3, and the discipline of using each method for the question it answers and no other. The seven-criterion rubric and the sample-size table are reusable artefacts a one-researcher team can pick up on a Monday morning.</w:t>
      </w:r>
    </w:p>
    <w:p>
      <w:pPr>
        <w:spacing w:after="120"/>
        <w:jc w:val="left"/>
      </w:pPr>
      <w:r>
        <w:rPr>
          <w:rFonts w:ascii="Times New Roman" w:hAnsi="Times New Roman" w:cs="Times New Roman" w:eastAsia="Times New Roman"/>
          <w:b/>
          <w:i w:val="0"/>
          <w:sz w:val="28"/>
        </w:rPr>
        <w:t>Thank you for your attention. I am ready to answer your questions.</w:t>
      </w:r>
    </w:p>
    <w:sectPr w:rsidR="00FC693F" w:rsidRPr="0006063C"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
built_by:aidemica_speech_builder</dc:description>
  <cp:lastModifiedBy/>
  <cp:revision>1</cp:revision>
  <dcterms:created xsi:type="dcterms:W3CDTF">2013-12-23T23:15:00Z</dcterms:created>
  <dcterms:modified xsi:type="dcterms:W3CDTF">2013-12-23T23:15:00Z</dcterms:modified>
  <cp:category/>
</cp:coreProperties>
</file>