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left"/>
      </w:pPr>
      <w:r>
        <w:rPr>
          <w:rFonts w:ascii="Times New Roman" w:hAnsi="Times New Roman" w:cs="Times New Roman" w:eastAsia="Times New Roman"/>
          <w:b/>
          <w:i w:val="0"/>
          <w:sz w:val="28"/>
        </w:rPr>
        <w:t>Уважаемые члены комиссии! Представляю вашему вниманию курсовую работу по дисциплине «Стратегический менеджмент» на тему «Стратегический менеджмент на примере IT-компании».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Актуальность темы определяется быстрым ростом российского облачного рынка. По данным iKS-Consulting, объём сегмента IaaS+PaaS в 2024 году достиг 165,6 миллиарда рублей при темпах роста 36,3 процента год к году. Топ-5 провайдеров концентрируют свыше 70 процентов выручки, а с мая 2025 года штрафы за нарушение 152-ФЗ выросли до 6 миллионов рублей за инцидент. В таких условиях ИТ-компании нуждаются в чётко выстроенном стратегическом контуре управления.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Цель работы - разработать стратегические рекомендации для условной IT-компании CloudPro на основе комплексного применения инструментов стратегического анализа. Объект исследования - процесс стратегического управления IT-компанией; предмет - методы и инструменты разработки и реализации стратегии. Для достижения цели поставлено шесть задач, охватывающих теорию, инструменты анализа, диагностику компании, выбор стратегии и дорожную карту реализации.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В первой главе систематизированы теоретические основы стратегического менеджмента. Опираясь на работу Минцберга, Альстранда и Лампеля, мы рассмотрели десять школ стратегий, объединённых в три группы: предписывающие школы дизайна, планирования и позиционирования; описательные - предпринимательства, когнитивная, обучения, власти, культуры, внешней среды; и объединяющая школа конфигурации. Современная теория дополнила этот ряд концепциями динамических способностей, OKR и Agile-стратегии.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Аналитический аппарат стратегического менеджмента включает пять основных инструментов: PEST-анализ макросреды, модель пяти сил Портера, SWOT-матрицу, BCG и GE/McKinsey. Каждый инструмент покрывает свой уровень анализа - от макросреды до продуктового портфеля. Методически они выстраиваются в сквозную процедуру: PEST поставляет факторы для SWOT, пять сил Портера детализируют отраслевую составляющую, VRIO и цепочка ценности наполняют блок внутренней диагностики.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Объектом прикладного анализа выступает условный российский SaaS-IaaS-провайдер CloudPro. По итогам 2024 года выручка компании составила 3 миллиарда 800 миллионов рублей при среднегодовом темпе роста 28 процентов, EBITDA-маржа достигла 17 процентов, ARR - 2 миллиарда 660 миллионов рублей. Штат - 480 сотрудников, клиентская база - 4 100 активных подписчиков. Доля компании на рынке IaaS+PaaS составляет около 2,29 процента - это позиция претендента второй волны.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Анализ конкурентных сил Портера для российского облачного рынка показал высокую интенсивность внутриотраслевого соперничества, среднюю угрозу новых игроков из-за барьеров 152-ФЗ, средне-низкую угрозу заменителей, средне-высокую силу поставщиков по причине санкционных ограничений на чипы и среднюю силу покупателей, более высокую в Enterprise-сегменте. Совокупно отрасль остаётся умеренно привлекательной.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Цепочка создания ценности CloudPro адаптирована для облачного SaaS-провайдера. Основные виды деятельности - входная инженерия, разработка платформы, эксплуатация, маркетинг и продажи, послепродажный сервис. VRIO-анализ выявил два устойчивых конкурентных преимущества: регуляторное соответствие на базе лицензий ФСТЭК и ФСБ и команда MLOps вокруг продукта AI-Analytics.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Матрица BCG распределила продуктовую линейку CloudPro по четырём квадрантам. IaaS - дойная корова с долей выручки 50 процентов, AI-Analytics - звезда с темпом роста сегмента 65 процентов и относительной долей 1,2. Два направления - PaaS и SaaS-CRM - попали в трудные дети. Стратегический вывод: денежный поток IaaS направляется на финансирование AI-Analytics.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SWOT-анализ обобщил результаты внешней и внутренней диагностики. Сильные стороны CloudPro - российская юрисдикция данных, лицензии регуляторов, AI-Analytics как технологический лидер. Слабости - узнаваемость бренда ниже топ-3 и ограниченный R&amp;D-бюджет. Возможности связаны с уходом иностранных провайдеров и государственными программами цифровизации. Угрозы - обострение конкуренции и кадровый дефицит AI/ML-инженеров.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Реестр стратегических рисков построен по методике ISO 31000 на матрице 5 на 5. Из восьми идентифицированных рисков пять попали в критическую зону. Три риска с максимальным скором 20 - регуляторный по 152-ФЗ, кибербезопасностный и кадровый дефицит AI и ML - образуют связку «соответствие × защита × персонал», характерную для всех российских облачных провайдеров.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Корпоративная стратегия CloudPro - комбинация концентрированного роста в IaaS-сегменте и связанной диверсификации в AI-Analytics. Конкурентная стратегия - фокусированная дифференциация по Портеру в сегменте mid-market FinTech и государственного сектора. Три дифференциатора: премиум-SLA уровня 99,95 процента, российская юрисдикция данных и отраслевые AI-модули в формате vertical packs.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Целевая система KPI на горизонте 2026 года: ARR удваивается с 2 660 до 5 320 миллионов рублей, Rule of 40 поднимается с 28 до 45 процентов, NRR растёт с 102 до 118 процентов, uptime SLA достигает 99,95 процента. Эти показатели соответствуют параметрам top-quartile SaaS по эталонной системе Bessemer Cloud Index 2025 и обеспечивают целевую капитализацию для раунда Series B на уровне 5-7 миллиардов рублей.</w:t>
      </w:r>
    </w:p>
    <w:p>
      <w:pPr>
        <w:spacing w:after="120"/>
        <w:ind w:firstLine="709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8"/>
        </w:rPr>
        <w:t>По итогам работы решены все шесть поставленных задач. Систематизированы теоретические основы стратегического менеджмента, выполнен комплексный анализ положения CloudPro, обоснован выбор корпоративной и конкурентной стратегий, разработана дорожная карта реализации на 64 квартальных инициативы 2025-2026 годов с измеримыми KPI и реестром рисков. Практическая значимость работы - в воспроизводимости предложенной методики на других объектах российского облачного сегмента.</w:t>
      </w:r>
    </w:p>
    <w:p>
      <w:pPr>
        <w:spacing w:after="120"/>
        <w:jc w:val="left"/>
      </w:pPr>
      <w:r>
        <w:rPr>
          <w:rFonts w:ascii="Times New Roman" w:hAnsi="Times New Roman" w:cs="Times New Roman" w:eastAsia="Times New Roman"/>
          <w:b/>
          <w:i w:val="0"/>
          <w:sz w:val="28"/>
        </w:rPr>
        <w:t>Спасибо за внимание. Готов ответить на ваши вопросы.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
built_by:aidemica_speech_builder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