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left"/>
      </w:pPr>
      <w:r>
        <w:rPr>
          <w:rFonts w:ascii="Times New Roman" w:hAnsi="Times New Roman" w:cs="Times New Roman" w:eastAsia="Times New Roman"/>
          <w:b/>
          <w:i w:val="0"/>
          <w:sz w:val="28"/>
        </w:rPr>
        <w:t>Шановні члени комісії, добрий день! Дозвольте презентувати курсову роботу на тему «Бухгалтерський облік малого підприємництва в Україні», яку виконано на 35 сторінках з трьома розділами, п'ятьма таблицями, трьома рисунками та одним кресленням формату А1.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Актуальність роботи зумовлена кількома чинниками. Станом на 1 січня 2025 року в Україні зареєстровано 1,71 мільйона ФОП, а їх кількість за минулий рік зросла на 7,5 відсотка. Попри це, частка малого підприємництва у валовому внутрішньому продукті України становить лише 16 відсотків, тоді як у країнах ЄС цей показник тримається в діапазоні 55-60 відсотків. Якісно поставлений бухгалтерський облік є саме тим інструментом, який допомагає малому бізнесу зменшити цей розрив.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На цьому слайді - чотири головні факти про сектор. Із 1,71 мільйона зареєстрованих суб'єктів малого підприємництва 81 відсоток - це ФОП, ще 14 відсотків - мікропідприємства у формі юридичних осіб, і лише 5 відсотків - малі підприємства як юрособи. За 2024 рік до сектору додалося 118,9 тисяч нових ФОП. Дані Держстату та UNDP підтверджують стійку тенденцію зростання.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Мета роботи - дослідити теорію і практику обліку малого підприємництва в Україні та сформулювати рекомендації з його вдосконалення з урахуванням нормативних змін 2022-2026 років. Для досягнення мети поставлено сім завдань: від розкриття сутності та критеріїв СМП за статтею 55 Господарського кодексу до формулювання рекомендацій з цифровізації.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Регулювання обліку СМП в Україні утворює семирівневу ієрархію - від Конституції та Цивільного кодексу через Закон 996-XIV, Податковий кодекс і спеціальні закони про ЄСВ і РРО до НП(С)БО 25 та наказів Мінфіну. Найновіший серед них - наказ номер 29 від 23 січня 2025 року, що уніфікував термінологію стандартів. На кресленні 1 ця ієрархія подана у вигляді нормативної піраміди формату А1.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На рисунку 2.1 показано цикл первинного документа з семи етапів - від господарської операції до архівування у термін щонайменше три роки. Первинний документ за статтею 9 Закону 996-XIV має містити сім обов'язкових реквізитів. З 1 січня 2022 року для більшості ФОП 2-4 груп єдиного податку обов'язковим став програмний РРО; станом на початок 2025 року в Україні зареєстровано понад 953 тисячі таких пристроїв.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У роботі розглянуто 12 типових господарських операцій умовного ТОВ «Альфа» за квітень 2026 року з повною кореспонденцією рахунків. На слайді - ключові суми: дохід від реалізації 120 тисяч гривень, собівартість 60 тисяч, нарахована зарплата 30 тисяч і ПДВ до сплати 8 тисяч. Усі проводки відображено в таблиці 2.2 курсової роботи.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Із січня 2026 року актуальні ліміти єдиного податку обчислюються через мінімальну заробітну плату 8 647 гривень і прожитковий мінімум працездатних 3 328 гривень. Для першої групи ліміт становить 1,44 мільйона гривень на рік, для другої - 7,21 мільйона, для третьої - 10,09 мільйона гривень. Воєнну ставку 2 відсотки скасовано з 1 серпня 2023 року Законом номер 3219-IX.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Аналіз фінансових показників умовного підприємства за 2023-2025 роки засвідчив зростання доходу на 66,7 відсотка - з 2,1 до 3,5 мільйона гривень. Чистий прибуток виріс на 71,5 відсотка - з 294 до 504 тисяч гривень. Рентабельність продажу піднялась з 14,0 до 14,4 відсотка, а ефективне податкове навантаження тримається на рівні 5,6 відсотка - це майже втричі менше, ніж на загальній системі оподаткування.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На рисунку 3.1 наочно представлено три серії даних за три роки: дохід, собівартість і чистий прибуток. Темп росту доходу 2024 до 2023 склав 33 відсотки, 2025 до 2024 - 25 відсотків. Лінія прибутку демонструє стабільне випередження зростання витрат, що підтверджує економічну доцільність обраної 3-ї групи єдиного податку зі ставкою 5 відсотків без ПДВ.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Ринок цифрових інструментів для СМП в Україні представлений українськими продуктами без російського коріння. Серед ключових - BAS Бухгалтерія як наступник 1С, M.E.Doc і FREDO Z'ВІТ для електронної звітності, хмарні iFin і SMARTFIN від 83 гривень на місяць, а також Електронний кабінет ДПС і обов'язковий ПРРО.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За результатами роботи сформовано шість підсумкових пунктів і запропоновано сім авторських рекомендацій: від переходу на хмарні сервіси й інтеграції ПРРО з обліковою системою до повного безпаперового документообігу та запровадження елементів управлінського обліку у форматі касового бюджету й ABC-аналізу товарів.</w:t>
      </w:r>
    </w:p>
    <w:p>
      <w:pPr>
        <w:spacing w:after="120"/>
        <w:jc w:val="left"/>
      </w:pPr>
      <w:r>
        <w:rPr>
          <w:rFonts w:ascii="Times New Roman" w:hAnsi="Times New Roman" w:cs="Times New Roman" w:eastAsia="Times New Roman"/>
          <w:b/>
          <w:i w:val="0"/>
          <w:sz w:val="28"/>
        </w:rPr>
        <w:t>Дякую за увагу! Готовий відповісти на ваші запитання.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
built_by:aidemica_speech_builder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