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0"/>
        <w:jc w:val="center"/>
      </w:pPr>
      <w:r>
        <w:rPr>
          <w:rFonts w:ascii="Times New Roman" w:hAnsi="Times New Roman" w:cs="Times New Roman" w:eastAsia="Times New Roman"/>
          <w:rFonts w:ascii="Times New Roman" w:hAnsi="Times New Roman"/>
          <w:b/>
          <w:i w:val="0"/>
          <w:sz w:val="28"/>
        </w:rPr>
        <w:t>[UNIVERSITY NAME - TO BE FILLED BY STUDENT]</w:t>
      </w:r>
    </w:p>
    <w:p>
      <w:pPr>
        <w:spacing w:after="0"/>
        <w:jc w:val="center"/>
      </w:pPr>
      <w:r>
        <w:rPr>
          <w:rFonts w:ascii="Times New Roman" w:hAnsi="Times New Roman" w:cs="Times New Roman" w:eastAsia="Times New Roman"/>
          <w:rFonts w:ascii="Times New Roman" w:hAnsi="Times New Roman"/>
          <w:b w:val="0"/>
          <w:i w:val="0"/>
          <w:sz w:val="24"/>
        </w:rPr>
        <w:t>[Faculty - to be filled by student]</w:t>
      </w:r>
    </w:p>
    <w:p>
      <w:pPr>
        <w:spacing w:after="0"/>
        <w:jc w:val="center"/>
      </w:pPr>
      <w:r>
        <w:rPr>
          <w:rFonts w:ascii="Times New Roman" w:hAnsi="Times New Roman" w:cs="Times New Roman" w:eastAsia="Times New Roman"/>
          <w:rFonts w:ascii="Times New Roman" w:hAnsi="Times New Roman"/>
          <w:b w:val="0"/>
          <w:i/>
          <w:sz w:val="24"/>
        </w:rPr>
        <w:t>[Department - to be filled by student]</w:t>
      </w:r>
    </w:p>
    <w:p>
      <w:pPr>
        <w:spacing w:after="0"/>
        <w:jc w:val="center"/>
      </w:pPr>
    </w:p>
    <w:p>
      <w:pPr>
        <w:spacing w:after="0"/>
        <w:jc w:val="center"/>
      </w:pPr>
    </w:p>
    <w:p>
      <w:pPr>
        <w:spacing w:after="0"/>
        <w:jc w:val="center"/>
      </w:pPr>
    </w:p>
    <w:p>
      <w:pPr>
        <w:spacing w:after="0"/>
        <w:jc w:val="center"/>
      </w:pPr>
    </w:p>
    <w:p>
      <w:pPr>
        <w:spacing w:after="0"/>
        <w:jc w:val="center"/>
      </w:pPr>
    </w:p>
    <w:p>
      <w:pPr>
        <w:spacing w:after="0"/>
        <w:jc w:val="center"/>
      </w:pPr>
      <w:r>
        <w:rPr>
          <w:rFonts w:ascii="Times New Roman" w:hAnsi="Times New Roman" w:cs="Times New Roman" w:eastAsia="Times New Roman"/>
          <w:rFonts w:ascii="Times New Roman" w:hAnsi="Times New Roman"/>
          <w:b/>
          <w:i w:val="0"/>
          <w:sz w:val="32"/>
        </w:rPr>
        <w:t>ESSAY</w:t>
      </w:r>
    </w:p>
    <w:p>
      <w:pPr>
        <w:spacing w:after="0"/>
        <w:jc w:val="center"/>
      </w:pPr>
      <w:r>
        <w:rPr>
          <w:rFonts w:ascii="Times New Roman" w:hAnsi="Times New Roman" w:cs="Times New Roman" w:eastAsia="Times New Roman"/>
          <w:rFonts w:ascii="Times New Roman" w:hAnsi="Times New Roman"/>
          <w:b w:val="0"/>
          <w:i w:val="0"/>
          <w:sz w:val="28"/>
        </w:rPr>
        <w:t>in the discipline «Comparative Politics / European Studies»</w:t>
      </w:r>
    </w:p>
    <w:p>
      <w:pPr>
        <w:spacing w:after="0"/>
        <w:jc w:val="center"/>
      </w:pPr>
      <w:r>
        <w:rPr>
          <w:rFonts w:ascii="Times New Roman" w:hAnsi="Times New Roman" w:cs="Times New Roman" w:eastAsia="Times New Roman"/>
          <w:rFonts w:ascii="Times New Roman" w:hAnsi="Times New Roman"/>
          <w:b w:val="0"/>
          <w:i w:val="0"/>
          <w:sz w:val="28"/>
        </w:rPr>
        <w:t>on the topic:</w:t>
      </w:r>
    </w:p>
    <w:p>
      <w:pPr>
        <w:spacing w:after="0"/>
        <w:jc w:val="center"/>
      </w:pPr>
      <w:r>
        <w:rPr>
          <w:rFonts w:ascii="Times New Roman" w:hAnsi="Times New Roman" w:cs="Times New Roman" w:eastAsia="Times New Roman"/>
          <w:rFonts w:ascii="Times New Roman" w:hAnsi="Times New Roman"/>
          <w:b/>
          <w:i w:val="0"/>
          <w:sz w:val="28"/>
        </w:rPr>
        <w:t>«Climate Policy of the European Union: From the Green Deal to 2030 Targets»</w:t>
      </w:r>
    </w:p>
    <w:p>
      <w:pPr>
        <w:spacing w:after="0"/>
        <w:jc w:val="center"/>
      </w:pPr>
    </w:p>
    <w:p>
      <w:pPr>
        <w:spacing w:after="0"/>
        <w:jc w:val="center"/>
      </w:pPr>
    </w:p>
    <w:p>
      <w:pPr>
        <w:spacing w:after="0"/>
        <w:jc w:val="center"/>
      </w:pPr>
    </w:p>
    <w:p>
      <w:pPr>
        <w:spacing w:after="0"/>
        <w:jc w:val="center"/>
      </w:pPr>
    </w:p>
    <w:p>
      <w:pPr>
        <w:spacing w:after="0"/>
        <w:jc w:val="right"/>
      </w:pPr>
      <w:r>
        <w:rPr>
          <w:rFonts w:ascii="Times New Roman" w:hAnsi="Times New Roman" w:cs="Times New Roman" w:eastAsia="Times New Roman"/>
          <w:rFonts w:ascii="Times New Roman" w:hAnsi="Times New Roman"/>
          <w:b w:val="0"/>
          <w:i w:val="0"/>
          <w:sz w:val="26"/>
        </w:rPr>
        <w:t>Prepared by: student 3year</w:t>
      </w:r>
    </w:p>
    <w:p>
      <w:pPr>
        <w:spacing w:after="0"/>
        <w:jc w:val="right"/>
      </w:pPr>
      <w:r>
        <w:rPr>
          <w:rFonts w:ascii="Times New Roman" w:hAnsi="Times New Roman" w:cs="Times New Roman" w:eastAsia="Times New Roman"/>
          <w:rFonts w:ascii="Times New Roman" w:hAnsi="Times New Roman"/>
          <w:b w:val="0"/>
          <w:i w:val="0"/>
          <w:sz w:val="26"/>
        </w:rPr>
        <w:t>group [Group - to be filled by student], specialty [Specialty - to be filled by student]</w:t>
      </w:r>
    </w:p>
    <w:p>
      <w:pPr>
        <w:spacing w:after="0"/>
        <w:jc w:val="right"/>
      </w:pPr>
      <w:r>
        <w:rPr>
          <w:rFonts w:ascii="Times New Roman" w:hAnsi="Times New Roman" w:cs="Times New Roman" w:eastAsia="Times New Roman"/>
          <w:rFonts w:ascii="Times New Roman" w:hAnsi="Times New Roman"/>
          <w:b w:val="0"/>
          <w:i w:val="0"/>
          <w:sz w:val="26"/>
        </w:rPr>
        <w:t>[Author full name - to be filled by student]</w:t>
      </w:r>
    </w:p>
    <w:p>
      <w:pPr>
        <w:spacing w:after="0"/>
        <w:jc w:val="right"/>
      </w:pPr>
      <w:r>
        <w:rPr>
          <w:rFonts w:ascii="Times New Roman" w:hAnsi="Times New Roman" w:cs="Times New Roman" w:eastAsia="Times New Roman"/>
          <w:rFonts w:ascii="Times New Roman" w:hAnsi="Times New Roman"/>
          <w:b w:val="0"/>
          <w:i w:val="0"/>
          <w:sz w:val="26"/>
        </w:rPr>
      </w:r>
    </w:p>
    <w:p>
      <w:pPr>
        <w:spacing w:after="0"/>
        <w:jc w:val="right"/>
      </w:pPr>
      <w:r>
        <w:rPr>
          <w:rFonts w:ascii="Times New Roman" w:hAnsi="Times New Roman" w:cs="Times New Roman" w:eastAsia="Times New Roman"/>
          <w:rFonts w:ascii="Times New Roman" w:hAnsi="Times New Roman"/>
          <w:b w:val="0"/>
          <w:i w:val="0"/>
          <w:sz w:val="26"/>
        </w:rPr>
        <w:t>Supervisor: [Supervisor - to be filled by student]</w:t>
      </w:r>
    </w:p>
    <w:p>
      <w:pPr>
        <w:spacing w:after="0"/>
        <w:jc w:val="center"/>
      </w:pPr>
    </w:p>
    <w:p>
      <w:pPr>
        <w:spacing w:after="0"/>
        <w:jc w:val="center"/>
      </w:pPr>
    </w:p>
    <w:p>
      <w:pPr>
        <w:spacing w:after="0"/>
        <w:jc w:val="center"/>
      </w:pPr>
    </w:p>
    <w:p>
      <w:pPr>
        <w:spacing w:after="0"/>
        <w:jc w:val="center"/>
      </w:pPr>
    </w:p>
    <w:p>
      <w:pPr>
        <w:spacing w:after="0"/>
        <w:jc w:val="center"/>
      </w:pPr>
    </w:p>
    <w:p>
      <w:pPr>
        <w:spacing w:after="0"/>
        <w:jc w:val="center"/>
      </w:pPr>
    </w:p>
    <w:p>
      <w:pPr>
        <w:spacing w:after="0"/>
        <w:jc w:val="center"/>
      </w:pPr>
      <w:r>
        <w:rPr>
          <w:rFonts w:ascii="Times New Roman" w:hAnsi="Times New Roman" w:cs="Times New Roman" w:eastAsia="Times New Roman"/>
          <w:rFonts w:ascii="Times New Roman" w:hAnsi="Times New Roman"/>
          <w:b w:val="0"/>
          <w:i w:val="0"/>
          <w:sz w:val="28"/>
        </w:rPr>
        <w:t>[City - to be filled by student] - 2026</w:t>
      </w:r>
    </w:p>
    <w:p>
      <w:r>
        <w:br w:type="page"/>
      </w:r>
    </w:p>
    <w:p>
      <w:pPr>
        <w:pStyle w:val="Heading1"/>
        <w:spacing w:line="360" w:lineRule="auto" w:before="240" w:after="120"/>
        <w:ind w:firstLine="0"/>
        <w:jc w:val="center"/>
      </w:pPr>
      <w:r>
        <w:rPr>
          <w:rFonts w:ascii="Times New Roman" w:hAnsi="Times New Roman" w:cs="Times New Roman" w:eastAsia="Times New Roman"/>
          <w:rFonts w:ascii="Times New Roman" w:hAnsi="Times New Roman"/>
          <w:b/>
          <w:i w:val="0"/>
          <w:color w:val="000000"/>
          <w:sz w:val="32"/>
        </w:rPr>
        <w:t>CONTENTS</w:t>
      </w:r>
    </w:p>
    <w:p>
      <w:r>
        <w:fldChar w:fldCharType="begin" w:dirty="true"/>
        <w:instrText xml:space="preserve">TOC \o "1-3" \h \z \u </w:instrText>
        <w:fldChar w:fldCharType="separate"/>
        <w:fldChar w:fldCharType="end"/>
      </w:r>
      <w:r>
        <w:br w:type="page"/>
      </w:r>
    </w:p>
    <w:p>
      <w:pPr>
        <w:pStyle w:val="Heading1"/>
        <w:spacing w:line="360" w:lineRule="auto" w:before="240" w:after="120"/>
        <w:ind w:firstLine="0"/>
        <w:jc w:val="center"/>
      </w:pPr>
      <w:r>
        <w:rPr>
          <w:rFonts w:ascii="Times New Roman" w:hAnsi="Times New Roman" w:cs="Times New Roman" w:eastAsia="Times New Roman"/>
          <w:rFonts w:ascii="Times New Roman" w:hAnsi="Times New Roman"/>
          <w:b/>
          <w:i w:val="0"/>
          <w:color w:val="000000"/>
          <w:sz w:val="32"/>
        </w:rPr>
        <w:t>ABSTRACT</w:t>
      </w:r>
    </w:p>
    <w:p>
      <w:r>
        <w:rPr>
          <w:rFonts w:ascii="Times New Roman" w:hAnsi="Times New Roman" w:cs="Times New Roman" w:eastAsia="Times New Roman"/>
          <w:rFonts w:ascii="Times New Roman" w:hAnsi="Times New Roman"/>
          <w:b w:val="0"/>
          <w:i w:val="0"/>
          <w:color w:val="000000"/>
          <w:sz w:val="28"/>
        </w:rPr>
        <w:t>This essay looks at the European Union's climate policy architecture between the launch of the European Green Deal in December 2019 and the 2030 obligations of the Fit for 55 package. It asks whether the EU has managed to translate headline political ambition into binding legal and economic instruments capable of delivering a net 55 per cent cut in greenhouse gas emissions by 2030 against the 1990 baseline. The argument unfolds across four sections: the historical setting from Kyoto to Paris, the architecture of the Green Deal and the Climate Law, the Fit for 55 instruments - the revised Emissions Trading System, ETS2, the Carbon Border Adjustment Mechanism, the recast Renewable Energy and Energy Efficiency Directives, and the National Energy and Climate Plans -, and the implementation challenges that have surfaced through Member State divergence, the practical limits of the Just Transition Mechanism, and the REPowerEU response to the 2022 energy crisis.</w:t>
      </w:r>
    </w:p>
    <w:p>
      <w:r>
        <w:rPr>
          <w:rFonts w:ascii="Times New Roman" w:hAnsi="Times New Roman" w:cs="Times New Roman" w:eastAsia="Times New Roman"/>
          <w:rFonts w:ascii="Times New Roman" w:hAnsi="Times New Roman"/>
          <w:b w:val="0"/>
          <w:i w:val="0"/>
          <w:color w:val="000000"/>
          <w:sz w:val="28"/>
        </w:rPr>
        <w:t>Drawing on primary EU sources, the EEA's 2024 stock-take, Eurostat data and peer-reviewed scholarship, the essay concludes that the EU has built a durable and legally enforceable climate framework, but that delivery, not ambition, is now the binding constraint. The EEA projects roughly -43% by 2030 under existing Member State measures, well short of the statutory -55%. The implementation gap is concentrated in transport, buildings and agriculture, and the political acceptability of ETS2 and the Carbon Border Adjustment Mechanism remains exposed. Three open questions will shape the next policy cycle: the 2040 intermediate target, the mid-term review of Fit for 55, and the durability of the supporting parliamentary coalition.</w:t>
      </w:r>
    </w:p>
    <w:p>
      <w:pPr>
        <w:spacing w:line="360" w:lineRule="auto" w:after="0"/>
        <w:ind w:firstLine="709"/>
        <w:jc w:val="both"/>
      </w:pPr>
      <w:r>
        <w:rPr>
          <w:rFonts w:ascii="Times New Roman" w:hAnsi="Times New Roman" w:cs="Times New Roman" w:eastAsia="Times New Roman"/>
          <w:rFonts w:ascii="Times New Roman" w:hAnsi="Times New Roman"/>
          <w:b w:val="0"/>
          <w:i w:val="0"/>
          <w:color w:val="000000"/>
          <w:sz w:val="28"/>
        </w:rPr>
        <w:t>Keywords: European Union, climate policy, European Green Deal, Fit for 55, Emissions Trading System, Carbon Border Adjustment Mechanism, climate neutrality, 2030 targets</w:t>
      </w:r>
      <w:r>
        <w:br w:type="page"/>
      </w:r>
    </w:p>
    <w:p>
      <w:pPr>
        <w:pStyle w:val="Heading1"/>
        <w:spacing w:line="360" w:lineRule="auto" w:before="240" w:after="120"/>
        <w:ind w:firstLine="0"/>
        <w:jc w:val="center"/>
      </w:pPr>
      <w:r>
        <w:rPr>
          <w:rFonts w:ascii="Times New Roman" w:hAnsi="Times New Roman" w:cs="Times New Roman" w:eastAsia="Times New Roman"/>
          <w:rFonts w:ascii="Times New Roman" w:hAnsi="Times New Roman"/>
          <w:b/>
          <w:i w:val="0"/>
          <w:color w:val="000000"/>
          <w:sz w:val="32"/>
        </w:rPr>
        <w:t>INTRODUCTION</w:t>
      </w:r>
    </w:p>
    <w:p>
      <w:pPr>
        <w:spacing w:line="360" w:lineRule="auto" w:after="0"/>
        <w:ind w:firstLine="709"/>
        <w:jc w:val="both"/>
      </w:pPr>
      <w:r>
        <w:rPr>
          <w:rFonts w:ascii="Times New Roman" w:hAnsi="Times New Roman" w:cs="Times New Roman" w:eastAsia="Times New Roman"/>
          <w:rFonts w:ascii="Times New Roman" w:hAnsi="Times New Roman"/>
          <w:b w:val="0"/>
          <w:i w:val="0"/>
          <w:color w:val="000000"/>
          <w:sz w:val="28"/>
        </w:rPr>
        <w:t>Climate policy has moved to the centre of how the European Union is governed. What began in the 1990s as a coordinating role under the United Nations Framework Convention on Climate Change has become a dense legal and fiscal apparatus, built around the legally binding objective of climate neutrality by 2050 and the intermediate obligation of cutting net greenhouse gas emissions by at least 55 per cent below the 1990 baseline by 2030 [3]. In roughly five years the EU has adopted the European Green Deal as its growth strategy [1], broken that strategy into thirteen interlocking legislative proposals under the Fit for 55 package [2], and weathered a major geopolitical shock that briefly threatened to derail decarbonisation [8]. The pace and the scope of this transformation, and the gap between political ambition and what gets delivered on the ground [9], make it a worthwhile object of analysis for students of European public policy.</w:t>
      </w:r>
    </w:p>
    <w:p>
      <w:pPr>
        <w:spacing w:line="360" w:lineRule="auto" w:after="0"/>
        <w:ind w:firstLine="709"/>
        <w:jc w:val="both"/>
      </w:pPr>
      <w:r>
        <w:rPr>
          <w:rFonts w:ascii="Times New Roman" w:hAnsi="Times New Roman" w:cs="Times New Roman" w:eastAsia="Times New Roman"/>
          <w:rFonts w:ascii="Times New Roman" w:hAnsi="Times New Roman"/>
          <w:b w:val="0"/>
          <w:i w:val="0"/>
          <w:color w:val="000000"/>
          <w:sz w:val="28"/>
        </w:rPr>
        <w:t>This essay asks one guiding question: to what extent has the EU's climate policy architecture, from the 2019 Green Deal to the 2030 Fit for 55 package, translated political ambition into binding legal and economic instruments capable of delivering the -55% emissions cut by 2030? In addressing it, I argue that the EU has built a durable and legally enforceable framework, but that implementation, not ambition, has now become the binding constraint on its credibility.</w:t>
      </w:r>
    </w:p>
    <w:p>
      <w:pPr>
        <w:spacing w:line="360" w:lineRule="auto" w:after="0"/>
        <w:ind w:firstLine="709"/>
        <w:jc w:val="both"/>
      </w:pPr>
      <w:r>
        <w:rPr>
          <w:rFonts w:ascii="Times New Roman" w:hAnsi="Times New Roman" w:cs="Times New Roman" w:eastAsia="Times New Roman"/>
          <w:rFonts w:ascii="Times New Roman" w:hAnsi="Times New Roman"/>
          <w:b w:val="0"/>
          <w:i w:val="0"/>
          <w:color w:val="000000"/>
          <w:sz w:val="28"/>
        </w:rPr>
        <w:t>The aim is therefore twofold. First, the essay maps the architecture across its three constitutive layers - the constitutional foundation provided by the European Climate Law, the legislative scaffolding of Fit for 55, and the fiscal envelope of NextGenerationEU and the Just Transition Mechanism. Second, it assesses the political-economy frictions that surface when binding Union obligations meet uneven Member State capacity, sectoral resistance, and the energy-security disruption that followed Russia's invasion of Ukraine.</w:t>
      </w:r>
    </w:p>
    <w:p>
      <w:pPr>
        <w:spacing w:line="360" w:lineRule="auto" w:after="0"/>
        <w:ind w:firstLine="709"/>
        <w:jc w:val="both"/>
      </w:pPr>
      <w:r>
        <w:rPr>
          <w:rFonts w:ascii="Times New Roman" w:hAnsi="Times New Roman" w:cs="Times New Roman" w:eastAsia="Times New Roman"/>
          <w:rFonts w:ascii="Times New Roman" w:hAnsi="Times New Roman"/>
          <w:b w:val="0"/>
          <w:i w:val="0"/>
          <w:color w:val="000000"/>
          <w:sz w:val="28"/>
        </w:rPr>
        <w:t>The argument unfolds in four sections. Section 1 traces the historical setting, from the Kyoto Protocol's burden-sharing logic to the Paris Agreement and the post-2018 pivot toward net zero. Section 2 treats the European Green Deal as a growth strategy and as a policy mix, with the European Climate Law as its juridical anchor and NextGenerationEU as its principal fiscal lever. Section 3 takes the Fit for 55 package in detail: the revised Emissions Trading System and the new ETS2, the Carbon Border Adjustment Mechanism, the recast Renewable Energy Directive and Energy Efficiency Directive, and the role of National Energy and Climate Plans in operationalising the Union targets at Member State level. Section 4 addresses the implementation challenges - Member State divergence, the practical limits of the Just Transition Mechanism, and the strategy's recalibration under the REPowerEU plan. A short conclusion draws the findings together and points to open questions surrounding the 2040 target and the mid-term review of Fit for 55.</w:t>
      </w:r>
    </w:p>
    <w:p>
      <w:pPr>
        <w:spacing w:line="360" w:lineRule="auto" w:after="0"/>
        <w:ind w:firstLine="709"/>
        <w:jc w:val="both"/>
      </w:pPr>
      <w:r>
        <w:rPr>
          <w:rFonts w:ascii="Times New Roman" w:hAnsi="Times New Roman" w:cs="Times New Roman" w:eastAsia="Times New Roman"/>
          <w:rFonts w:ascii="Times New Roman" w:hAnsi="Times New Roman"/>
          <w:b w:val="0"/>
          <w:i w:val="0"/>
          <w:color w:val="000000"/>
          <w:sz w:val="28"/>
        </w:rPr>
        <w:t>Methodologically, the essay rests on a documentary analysis of EU primary sources, including Commission communications, regulations and directives published in the Official Journal of the European Union, supplemented with the EEA's annual stock-take and Eurostat data on greenhouse-gas emissions [9][10]. Secondary literature draws on peer-reviewed scholarship on EU climate governance [11][12][13][14][15] and from policy briefs by Bruegel, the Centre for European Policy Studies and E3G [16][17][18]. All sources are referenced Harvard-style and listed in full at the end.</w:t>
      </w:r>
      <w:r>
        <w:br w:type="page"/>
      </w:r>
    </w:p>
    <w:p>
      <w:pPr>
        <w:pStyle w:val="Heading1"/>
        <w:spacing w:line="360" w:lineRule="auto" w:before="240" w:after="120"/>
        <w:ind w:firstLine="0"/>
        <w:jc w:val="center"/>
      </w:pPr>
      <w:r>
        <w:rPr>
          <w:rFonts w:ascii="Times New Roman" w:hAnsi="Times New Roman" w:cs="Times New Roman" w:eastAsia="Times New Roman"/>
          <w:rFonts w:ascii="Times New Roman" w:hAnsi="Times New Roman"/>
          <w:b/>
          <w:i w:val="0"/>
          <w:color w:val="000000"/>
          <w:sz w:val="32"/>
        </w:rPr>
        <w:t>1 HISTORICAL CONTEXT OF EU CLIMATE POLICY: FROM KYOTO TO PARIS</w:t>
      </w:r>
    </w:p>
    <w:p>
      <w:pPr>
        <w:pStyle w:val="Heading2"/>
        <w:spacing w:line="360" w:lineRule="auto" w:before="240" w:after="120"/>
        <w:ind w:firstLine="0"/>
        <w:jc w:val="left"/>
      </w:pPr>
      <w:r>
        <w:rPr>
          <w:rFonts w:ascii="Times New Roman" w:hAnsi="Times New Roman" w:cs="Times New Roman" w:eastAsia="Times New Roman"/>
          <w:rFonts w:ascii="Times New Roman" w:hAnsi="Times New Roman"/>
          <w:b/>
          <w:i w:val="0"/>
          <w:color w:val="000000"/>
          <w:sz w:val="28"/>
        </w:rPr>
        <w:t>1.1 From the Kyoto Protocol to the 2020 Climate-Energy Package</w:t>
      </w:r>
    </w:p>
    <w:p>
      <w:pPr>
        <w:spacing w:line="360" w:lineRule="auto" w:after="0"/>
        <w:ind w:firstLine="709"/>
        <w:jc w:val="both"/>
      </w:pPr>
      <w:r>
        <w:rPr>
          <w:rFonts w:ascii="Times New Roman" w:hAnsi="Times New Roman" w:cs="Times New Roman" w:eastAsia="Times New Roman"/>
          <w:rFonts w:ascii="Times New Roman" w:hAnsi="Times New Roman"/>
          <w:b w:val="0"/>
          <w:i w:val="0"/>
          <w:color w:val="000000"/>
          <w:sz w:val="28"/>
        </w:rPr>
        <w:t>European climate policy predates the Green Deal by decades. Its institutional roots run back to the 1992 United Nations Framework Convention on Climate Change, which the then European Community signed alongside its member states and which established the principle of common but differentiated responsibilities. The Convention gave Brussels a treaty-level mandate to coordinate national positions, and this coordinating role hardened in 1997, when the 1997 Kyoto Protocol assigned the EU-15 a binding commitment to cut greenhouse gas emissions by 8% against a 1990 baseline over the 2008-2012 period [9]. To deliver that target without imposing identical effort on economies as different as Sweden and Portugal, the Council adopted an internal burden-sharing deal that spread the headline figure across member states, allowing Spain and Greece to grow while Germany and the United Kingdom took deeper cuts. The deal was politically awkward, yet it established a precedent for differentiated effort visible in every climate package since [11].</w:t>
      </w:r>
    </w:p>
    <w:p>
      <w:pPr>
        <w:spacing w:line="360" w:lineRule="auto" w:after="0"/>
        <w:ind w:firstLine="709"/>
        <w:jc w:val="both"/>
      </w:pPr>
      <w:r>
        <w:rPr>
          <w:rFonts w:ascii="Times New Roman" w:hAnsi="Times New Roman" w:cs="Times New Roman" w:eastAsia="Times New Roman"/>
          <w:rFonts w:ascii="Times New Roman" w:hAnsi="Times New Roman"/>
          <w:b w:val="0"/>
          <w:i w:val="0"/>
          <w:color w:val="000000"/>
          <w:sz w:val="28"/>
        </w:rPr>
        <w:t xml:space="preserve">The central instrument designed to deliver the Kyoto commitment started in 2005, when the </w:t>
      </w:r>
      <w:r>
        <w:rPr>
          <w:rFonts w:ascii="Times New Roman" w:hAnsi="Times New Roman" w:cs="Times New Roman" w:eastAsia="Times New Roman"/>
          <w:rFonts w:ascii="Times New Roman" w:hAnsi="Times New Roman"/>
          <w:b/>
          <w:i w:val="0"/>
          <w:color w:val="000000"/>
          <w:sz w:val="28"/>
        </w:rPr>
        <w:t>EU ETS</w:t>
      </w:r>
      <w:r>
        <w:rPr>
          <w:rFonts w:ascii="Times New Roman" w:hAnsi="Times New Roman" w:cs="Times New Roman" w:eastAsia="Times New Roman"/>
          <w:rFonts w:ascii="Times New Roman" w:hAnsi="Times New Roman"/>
          <w:b w:val="0"/>
          <w:i w:val="0"/>
          <w:color w:val="000000"/>
          <w:sz w:val="28"/>
        </w:rPr>
        <w:t xml:space="preserve"> opened as the first economy-wide carbon market. Phase 1, which ran to 2007, was an avowed pilot: caps were generous, allowances were grandfathered for free, and the verification infrastructure was still being built from scratch. The resulting price collapse in 2007 was politically embarrassing, yet it provided the operational learning that Phase 2 (2008-2012) and Phase 3 (2013-2020) needed. Successive reforms tightened the cap, made auctioning the default allocation method, centralised the registry, and eventually created the Market Stability Reserve to absorb the surplus of allowances accumulated during the post-2008 recession [14]. Each reform was incremental, yet the cumulative effect was a credible EU-wide carbon price signal by the early 2020s, recognisable to market participants and regulators alike.</w:t>
      </w:r>
    </w:p>
    <w:p>
      <w:pPr>
        <w:spacing w:line="360" w:lineRule="auto" w:after="0"/>
        <w:ind w:firstLine="709"/>
        <w:jc w:val="both"/>
      </w:pPr>
      <w:r>
        <w:rPr>
          <w:rFonts w:ascii="Times New Roman" w:hAnsi="Times New Roman" w:cs="Times New Roman" w:eastAsia="Times New Roman"/>
          <w:rFonts w:ascii="Times New Roman" w:hAnsi="Times New Roman"/>
          <w:b w:val="0"/>
          <w:i w:val="0"/>
          <w:color w:val="000000"/>
          <w:sz w:val="28"/>
        </w:rPr>
        <w:t>Alongside the carbon market, the 2008 climate-energy package set the well-known "20-20-20 by 2020" headline: a 20% cut in greenhouse gases relative to 1990, a 20% share of renewables in final energy consumption, and a 20% improvement in energy efficiency. The package combined the revised ETS directive with the Effort Sharing Decision for non-traded sectors, the first Renewable Energy Directive and binding national renewable targets [14]. This layered architecture - a cap-and-trade core, sectoral directives and national plans - became the template for what followed. Policy feedback effects locked in constituencies of regulators, market operators and renewable industries whose interests now favoured continuation rather than rollback, lending the regime a durability that purely intergovernmental commitments rarely achieve [11]. By 2020 the EU-27 had cut net emissions by about 32% on 1990, overshooting the headline target [9].</w:t>
      </w:r>
    </w:p>
    <w:p>
      <w:pPr>
        <w:spacing w:after="120"/>
        <w:ind w:firstLine="0"/>
        <w:jc w:val="center"/>
      </w:pPr>
      <w:r>
        <w:drawing>
          <wp:inline xmlns:a="http://schemas.openxmlformats.org/drawingml/2006/main" xmlns:pic="http://schemas.openxmlformats.org/drawingml/2006/picture">
            <wp:extent cx="5040000" cy="3024000"/>
            <wp:docPr id="1" name="Picture 1"/>
            <wp:cNvGraphicFramePr>
              <a:graphicFrameLocks noChangeAspect="1"/>
            </wp:cNvGraphicFramePr>
            <a:graphic>
              <a:graphicData uri="http://schemas.openxmlformats.org/drawingml/2006/picture">
                <pic:pic>
                  <pic:nvPicPr>
                    <pic:cNvPr id="0" name="chart_01_eu_ghg_trend.png"/>
                    <pic:cNvPicPr/>
                  </pic:nvPicPr>
                  <pic:blipFill>
                    <a:blip r:embed="rId10"/>
                    <a:stretch>
                      <a:fillRect/>
                    </a:stretch>
                  </pic:blipFill>
                  <pic:spPr>
                    <a:xfrm>
                      <a:off x="0" y="0"/>
                      <a:ext cx="5040000" cy="3024000"/>
                    </a:xfrm>
                    <a:prstGeom prst="rect"/>
                  </pic:spPr>
                </pic:pic>
              </a:graphicData>
            </a:graphic>
          </wp:inline>
        </w:drawing>
      </w:r>
    </w:p>
    <w:p>
      <w:pPr>
        <w:spacing w:after="240"/>
        <w:ind w:firstLine="0"/>
        <w:jc w:val="center"/>
      </w:pPr>
      <w:r>
        <w:rPr>
          <w:rFonts w:ascii="Times New Roman" w:hAnsi="Times New Roman" w:cs="Times New Roman" w:eastAsia="Times New Roman"/>
          <w:rFonts w:ascii="Times New Roman" w:hAnsi="Times New Roman"/>
          <w:b w:val="0"/>
          <w:i/>
          <w:color w:val="000000"/>
          <w:sz w:val="24"/>
        </w:rPr>
        <w:t>EU-27 net greenhouse gas emissions, 1990-2023, indexed to the 1990 baseline, with the linear trajectory required to reach the binding -55% target by 2030 (EEA, 2024; Eurostat, 2024)</w:t>
      </w:r>
    </w:p>
    <w:p>
      <w:pPr>
        <w:spacing w:line="360" w:lineRule="auto" w:after="0"/>
        <w:ind w:firstLine="709"/>
        <w:jc w:val="both"/>
      </w:pPr>
      <w:r>
        <w:rPr>
          <w:rFonts w:ascii="Times New Roman" w:hAnsi="Times New Roman" w:cs="Times New Roman" w:eastAsia="Times New Roman"/>
          <w:rFonts w:ascii="Times New Roman" w:hAnsi="Times New Roman"/>
          <w:b/>
          <w:i w:val="0"/>
          <w:color w:val="000000"/>
          <w:sz w:val="28"/>
        </w:rPr>
        <w:t>Figure 1.1 - EU-27 net greenhouse gas emissions, 1990-2023, indexed to the 1990 baseline, with the linear trajectory required to reach the binding -55% target by 2030</w:t>
      </w:r>
    </w:p>
    <w:p>
      <w:pPr>
        <w:pStyle w:val="Heading2"/>
        <w:spacing w:line="360" w:lineRule="auto" w:before="240" w:after="120"/>
        <w:ind w:firstLine="0"/>
        <w:jc w:val="left"/>
      </w:pPr>
      <w:r>
        <w:rPr>
          <w:rFonts w:ascii="Times New Roman" w:hAnsi="Times New Roman" w:cs="Times New Roman" w:eastAsia="Times New Roman"/>
          <w:rFonts w:ascii="Times New Roman" w:hAnsi="Times New Roman"/>
          <w:b/>
          <w:i w:val="0"/>
          <w:color w:val="000000"/>
          <w:sz w:val="28"/>
        </w:rPr>
        <w:t>1.2 The Paris Agreement and the EU's Role</w:t>
      </w:r>
    </w:p>
    <w:p>
      <w:pPr>
        <w:spacing w:line="360" w:lineRule="auto" w:after="0"/>
        <w:ind w:firstLine="709"/>
        <w:jc w:val="both"/>
      </w:pPr>
      <w:r>
        <w:rPr>
          <w:rFonts w:ascii="Times New Roman" w:hAnsi="Times New Roman" w:cs="Times New Roman" w:eastAsia="Times New Roman"/>
          <w:rFonts w:ascii="Times New Roman" w:hAnsi="Times New Roman"/>
          <w:b w:val="0"/>
          <w:i w:val="0"/>
          <w:color w:val="000000"/>
          <w:sz w:val="28"/>
        </w:rPr>
        <w:t>Paris in December 2015 reset the international frame in which EU policy operates. The Agreement replaced Kyoto's top-down assignment of binding targets with a pledge-and-review system built around nationally determined contributions, anchored by the long-term goal of holding warming well below 2 degrees and pursuing efforts towards 1.5. The EU submitted a pre-2030 NDC of "at least -40%" against 1990, a figure agreed by the European Council in October 2014 and seen as ambitious at the time relative to the offers tabled by other major economies [12].</w:t>
      </w:r>
    </w:p>
    <w:p>
      <w:pPr>
        <w:spacing w:line="360" w:lineRule="auto" w:after="0"/>
        <w:ind w:firstLine="709"/>
        <w:jc w:val="both"/>
      </w:pPr>
      <w:r>
        <w:rPr>
          <w:rFonts w:ascii="Times New Roman" w:hAnsi="Times New Roman" w:cs="Times New Roman" w:eastAsia="Times New Roman"/>
          <w:rFonts w:ascii="Times New Roman" w:hAnsi="Times New Roman"/>
          <w:b w:val="0"/>
          <w:i w:val="0"/>
          <w:color w:val="000000"/>
          <w:sz w:val="28"/>
        </w:rPr>
        <w:t>Brussels did not arrive in Paris as a passive participant. Throughout the negotiations the EU acted as a core member of the High Ambition Coalition, brokering trade-offs between small-island states and reluctant emerging economies on the 1.5-degree reference and on the five-yearly ratchet mechanism. This bridge-building marked a partial recovery from the Copenhagen setback the EU had suffered at Copenhagen in 2009, when it had been excluded from the final drafting room [12]. Analysts have nonetheless characterised the EU's stance in the Paris cycle as a "leadiator" - a leader by example whose influence depended on joining shifting coalitions rather than commanding them, a pattern visible in the gap between rhetorical ambition and the slower pace of internal legislative delivery [13].</w:t>
      </w:r>
    </w:p>
    <w:p>
      <w:pPr>
        <w:spacing w:line="360" w:lineRule="auto" w:after="0"/>
        <w:ind w:firstLine="709"/>
        <w:jc w:val="both"/>
      </w:pPr>
      <w:r>
        <w:rPr>
          <w:rFonts w:ascii="Times New Roman" w:hAnsi="Times New Roman" w:cs="Times New Roman" w:eastAsia="Times New Roman"/>
          <w:rFonts w:ascii="Times New Roman" w:hAnsi="Times New Roman"/>
          <w:b w:val="0"/>
          <w:i w:val="0"/>
          <w:color w:val="000000"/>
          <w:sz w:val="28"/>
        </w:rPr>
        <w:t>The decisive turn came in October 2018, when the IPCC Special Report on Global Warming of 1.5 degrees made clear that the existing -40% pathway did not match the temperature goal the EU had helped negotiate. The political response was unusually rapid: the incoming von der Leyen Commission put climate neutrality at the centre of its 2019 programme, the European Council endorsed a 2050 net-zero objective in December 2019, and the commitment was made law through the European Climate Law in 2021, which also raised the 2030 target to "at least -55%" net of removals [3]. The empirical record up to 2023 shows that emissions have kept falling, although the trajectory required by the new target is considerably steeper than the post-Kyoto curve [9].</w:t>
      </w:r>
      <w:r>
        <w:br w:type="page"/>
      </w:r>
    </w:p>
    <w:p>
      <w:pPr>
        <w:pStyle w:val="Heading1"/>
        <w:spacing w:line="360" w:lineRule="auto" w:before="240" w:after="120"/>
        <w:ind w:firstLine="0"/>
        <w:jc w:val="center"/>
      </w:pPr>
      <w:r>
        <w:rPr>
          <w:rFonts w:ascii="Times New Roman" w:hAnsi="Times New Roman" w:cs="Times New Roman" w:eastAsia="Times New Roman"/>
          <w:rFonts w:ascii="Times New Roman" w:hAnsi="Times New Roman"/>
          <w:b/>
          <w:i w:val="0"/>
          <w:color w:val="000000"/>
          <w:sz w:val="32"/>
        </w:rPr>
        <w:t>2 THE EUROPEAN GREEN DEAL OF 2019</w:t>
      </w:r>
    </w:p>
    <w:p>
      <w:pPr>
        <w:pStyle w:val="Heading2"/>
        <w:spacing w:line="360" w:lineRule="auto" w:before="240" w:after="120"/>
        <w:ind w:firstLine="0"/>
        <w:jc w:val="left"/>
      </w:pPr>
      <w:r>
        <w:rPr>
          <w:rFonts w:ascii="Times New Roman" w:hAnsi="Times New Roman" w:cs="Times New Roman" w:eastAsia="Times New Roman"/>
          <w:rFonts w:ascii="Times New Roman" w:hAnsi="Times New Roman"/>
          <w:b/>
          <w:i w:val="0"/>
          <w:color w:val="000000"/>
          <w:sz w:val="28"/>
        </w:rPr>
        <w:t>2.1 Pillars and Architecture of the Green Deal</w:t>
      </w:r>
    </w:p>
    <w:p>
      <w:pPr>
        <w:spacing w:line="360" w:lineRule="auto" w:after="0"/>
        <w:ind w:firstLine="709"/>
        <w:jc w:val="both"/>
      </w:pPr>
      <w:r>
        <w:rPr>
          <w:rFonts w:ascii="Times New Roman" w:hAnsi="Times New Roman" w:cs="Times New Roman" w:eastAsia="Times New Roman"/>
          <w:rFonts w:ascii="Times New Roman" w:hAnsi="Times New Roman"/>
          <w:b w:val="0"/>
          <w:i w:val="0"/>
          <w:color w:val="000000"/>
          <w:sz w:val="28"/>
        </w:rPr>
        <w:t xml:space="preserve">The Commission communication COM(2019) 640, issued on 11 December 2019, set out the </w:t>
      </w:r>
      <w:r>
        <w:rPr>
          <w:rFonts w:ascii="Times New Roman" w:hAnsi="Times New Roman" w:cs="Times New Roman" w:eastAsia="Times New Roman"/>
          <w:rFonts w:ascii="Times New Roman" w:hAnsi="Times New Roman"/>
          <w:b/>
          <w:i w:val="0"/>
          <w:color w:val="000000"/>
          <w:sz w:val="28"/>
        </w:rPr>
        <w:t>European Green Deal</w:t>
      </w:r>
      <w:r>
        <w:rPr>
          <w:rFonts w:ascii="Times New Roman" w:hAnsi="Times New Roman" w:cs="Times New Roman" w:eastAsia="Times New Roman"/>
          <w:rFonts w:ascii="Times New Roman" w:hAnsi="Times New Roman"/>
          <w:b w:val="0"/>
          <w:i w:val="0"/>
          <w:color w:val="000000"/>
          <w:sz w:val="28"/>
        </w:rPr>
        <w:t xml:space="preserve"> as a growth strategy rather than a standalone environmental programme [1]. The document deliberately fused climate ambition with industrial policy, framing decarbonisation as a vector for competitiveness, employment and technological leadership. Eight policy pillars hold the package together: clean energy, the circular economy, sustainable and smart mobility, the farm-to-fork agenda, biodiversity restoration, the zero-pollution objective, sustainable finance and a just transition for regions exposed to structural change [1]. Each pillar was designed to translate into legislative initiatives over the subsequent mandate, with the climate neutrality goal acting as the unifying frame.</w:t>
      </w:r>
    </w:p>
    <w:p>
      <w:pPr>
        <w:spacing w:line="360" w:lineRule="auto" w:after="0"/>
        <w:ind w:firstLine="709"/>
        <w:jc w:val="both"/>
      </w:pPr>
      <w:r>
        <w:rPr>
          <w:rFonts w:ascii="Times New Roman" w:hAnsi="Times New Roman" w:cs="Times New Roman" w:eastAsia="Times New Roman"/>
          <w:rFonts w:ascii="Times New Roman" w:hAnsi="Times New Roman"/>
          <w:b w:val="0"/>
          <w:i w:val="0"/>
          <w:color w:val="000000"/>
          <w:sz w:val="28"/>
        </w:rPr>
        <w:t>The Green Deal did not emerge from nowhere. Skjærseth reads it as the fourth generation of EU climate policy, layered on top of the 2008 Climate and Energy Package, the 2014 2030 Framework and the 2018 Clean Energy for All Europeans package [14]. Each predecessor refined the architecture of the Emissions Trading System, the effort-sharing regime and renewable energy governance, leaving the Green Deal to scale up targets and to widen the regulatory perimeter rather than to invent it from scratch. This path-dependent reading helps explain both the speed of the 2019-2024 legislative cycle and the persistence of compromise structures carried over from earlier bargains.</w:t>
      </w:r>
    </w:p>
    <w:p>
      <w:pPr>
        <w:spacing w:line="360" w:lineRule="auto" w:after="0"/>
        <w:ind w:firstLine="709"/>
        <w:jc w:val="both"/>
      </w:pPr>
      <w:r>
        <w:rPr>
          <w:rFonts w:ascii="Times New Roman" w:hAnsi="Times New Roman" w:cs="Times New Roman" w:eastAsia="Times New Roman"/>
          <w:rFonts w:ascii="Times New Roman" w:hAnsi="Times New Roman"/>
          <w:b w:val="0"/>
          <w:i w:val="0"/>
          <w:color w:val="000000"/>
          <w:sz w:val="28"/>
        </w:rPr>
        <w:t>The package is best read as a policy mix rather than a single instrument [14][11]. Jordan and Moore stress that effectiveness depends on the interaction between regulatory, market-based, fiscal and informational tools, and on the alignment of national implementation capacity with EU-level targets [11]. The Green Deal accordingly bundles binding regulations, directives requiring transposition, voluntary strategies and substantial budgetary envelopes, an arrangement that produces both synergies and coordination costs across Directorates-General and member states.</w:t>
      </w:r>
    </w:p>
    <w:p>
      <w:pPr>
        <w:pStyle w:val="Heading2"/>
        <w:spacing w:line="360" w:lineRule="auto" w:before="240" w:after="120"/>
        <w:ind w:firstLine="0"/>
        <w:jc w:val="left"/>
      </w:pPr>
      <w:r>
        <w:rPr>
          <w:rFonts w:ascii="Times New Roman" w:hAnsi="Times New Roman" w:cs="Times New Roman" w:eastAsia="Times New Roman"/>
          <w:rFonts w:ascii="Times New Roman" w:hAnsi="Times New Roman"/>
          <w:b/>
          <w:i w:val="0"/>
          <w:color w:val="000000"/>
          <w:sz w:val="28"/>
        </w:rPr>
        <w:t>2.2 The European Climate Law and the 2050 Neutrality Target</w:t>
      </w:r>
    </w:p>
    <w:p>
      <w:pPr>
        <w:spacing w:line="360" w:lineRule="auto" w:after="0"/>
        <w:ind w:firstLine="709"/>
        <w:jc w:val="both"/>
      </w:pPr>
      <w:r>
        <w:rPr>
          <w:rFonts w:ascii="Times New Roman" w:hAnsi="Times New Roman" w:cs="Times New Roman" w:eastAsia="Times New Roman"/>
          <w:rFonts w:ascii="Times New Roman" w:hAnsi="Times New Roman"/>
          <w:b w:val="0"/>
          <w:i w:val="0"/>
          <w:color w:val="000000"/>
          <w:sz w:val="28"/>
        </w:rPr>
        <w:t xml:space="preserve">Regulation (EU) 2021/1119, commonly designated the </w:t>
      </w:r>
      <w:r>
        <w:rPr>
          <w:rFonts w:ascii="Times New Roman" w:hAnsi="Times New Roman" w:cs="Times New Roman" w:eastAsia="Times New Roman"/>
          <w:rFonts w:ascii="Times New Roman" w:hAnsi="Times New Roman"/>
          <w:b/>
          <w:i w:val="0"/>
          <w:color w:val="000000"/>
          <w:sz w:val="28"/>
        </w:rPr>
        <w:t>European Climate Law</w:t>
      </w:r>
      <w:r>
        <w:rPr>
          <w:rFonts w:ascii="Times New Roman" w:hAnsi="Times New Roman" w:cs="Times New Roman" w:eastAsia="Times New Roman"/>
          <w:rFonts w:ascii="Times New Roman" w:hAnsi="Times New Roman"/>
          <w:b w:val="0"/>
          <w:i w:val="0"/>
          <w:color w:val="000000"/>
          <w:sz w:val="28"/>
        </w:rPr>
        <w:t>, is the legal anchor of the Green Deal [3]. Adopted in June 2021, it writes the climate neutrality objective across the Union by 2050 and elevates it from political pledge to enforceable obligation binding upon the institutions and the member states. The same regulation fixes an intermediate net target of at least minus 55 per cent in greenhouse gas emissions by 2030 against the 1990 baseline, thereby aligning the EU trajectory with the temperature goals of the Paris Agreement.</w:t>
      </w:r>
    </w:p>
    <w:p>
      <w:pPr>
        <w:spacing w:line="360" w:lineRule="auto" w:after="0"/>
        <w:ind w:firstLine="709"/>
        <w:jc w:val="both"/>
      </w:pPr>
      <w:r>
        <w:rPr>
          <w:rFonts w:ascii="Times New Roman" w:hAnsi="Times New Roman" w:cs="Times New Roman" w:eastAsia="Times New Roman"/>
          <w:rFonts w:ascii="Times New Roman" w:hAnsi="Times New Roman"/>
          <w:b w:val="0"/>
          <w:i w:val="0"/>
          <w:color w:val="000000"/>
          <w:sz w:val="28"/>
        </w:rPr>
        <w:t>Beyond the headline figures, the regulation establishes procedural infrastructure for credibility. It mandates a review of Union measures every five years, requires consistency assessments of all draft legislation, and creates the European Scientific Advisory Board on Climate Change (ESABCC), an independent body tasked with delivering scientific advice on pathways, carbon budgets, and policy coherence [3]. The Board's first reports have shaped the ongoing discussion on a 2040 intermediate target, where the Commission's recommended range of minus 90 to minus 95 per cent runs into political resistance from agricultural and industrial constituencies.</w:t>
      </w:r>
    </w:p>
    <w:p>
      <w:pPr>
        <w:spacing w:line="360" w:lineRule="auto" w:after="0"/>
        <w:ind w:firstLine="709"/>
        <w:jc w:val="both"/>
      </w:pPr>
      <w:r>
        <w:rPr>
          <w:rFonts w:ascii="Times New Roman" w:hAnsi="Times New Roman" w:cs="Times New Roman" w:eastAsia="Times New Roman"/>
          <w:rFonts w:ascii="Times New Roman" w:hAnsi="Times New Roman"/>
          <w:b w:val="0"/>
          <w:i w:val="0"/>
          <w:color w:val="000000"/>
          <w:sz w:val="28"/>
        </w:rPr>
        <w:t>The empirical record offers partial vindication of the architecture. The European Environment Agency's 2024 stock-take reports that Union emissions had fallen by roughly 37 per cent below 1990 levels by 2023, a meaningful acceleration on pre-Green-Deal trends, yet still short of the linear path required for the 2030 benchmark [9]. Oberthür and Dupont read this gap as evidence that statutory targets need matching implementation capacity, particularly in the buildings and transport sectors which lag behind power generation [12].</w:t>
      </w:r>
    </w:p>
    <w:p>
      <w:pPr>
        <w:pStyle w:val="Heading2"/>
        <w:spacing w:line="360" w:lineRule="auto" w:before="240" w:after="120"/>
        <w:ind w:firstLine="0"/>
        <w:jc w:val="left"/>
      </w:pPr>
      <w:r>
        <w:rPr>
          <w:rFonts w:ascii="Times New Roman" w:hAnsi="Times New Roman" w:cs="Times New Roman" w:eastAsia="Times New Roman"/>
          <w:rFonts w:ascii="Times New Roman" w:hAnsi="Times New Roman"/>
          <w:b/>
          <w:i w:val="0"/>
          <w:color w:val="000000"/>
          <w:sz w:val="28"/>
        </w:rPr>
        <w:t>2.3 Financing: NextGenerationEU and the Just Transition Mechanism</w:t>
      </w:r>
    </w:p>
    <w:p>
      <w:pPr>
        <w:spacing w:line="360" w:lineRule="auto" w:after="0"/>
        <w:ind w:firstLine="709"/>
        <w:jc w:val="both"/>
      </w:pPr>
      <w:r>
        <w:rPr>
          <w:rFonts w:ascii="Times New Roman" w:hAnsi="Times New Roman" w:cs="Times New Roman" w:eastAsia="Times New Roman"/>
          <w:rFonts w:ascii="Times New Roman" w:hAnsi="Times New Roman"/>
          <w:b w:val="0"/>
          <w:i w:val="0"/>
          <w:color w:val="000000"/>
          <w:sz w:val="28"/>
        </w:rPr>
        <w:t xml:space="preserve">Financial firepower sets the Green Deal apart from its predecessors. </w:t>
      </w:r>
      <w:r>
        <w:rPr>
          <w:rFonts w:ascii="Times New Roman" w:hAnsi="Times New Roman" w:cs="Times New Roman" w:eastAsia="Times New Roman"/>
          <w:rFonts w:ascii="Times New Roman" w:hAnsi="Times New Roman"/>
          <w:b/>
          <w:i w:val="0"/>
          <w:color w:val="000000"/>
          <w:sz w:val="28"/>
        </w:rPr>
        <w:t>NextGenerationEU</w:t>
      </w:r>
      <w:r>
        <w:rPr>
          <w:rFonts w:ascii="Times New Roman" w:hAnsi="Times New Roman" w:cs="Times New Roman" w:eastAsia="Times New Roman"/>
          <w:rFonts w:ascii="Times New Roman" w:hAnsi="Times New Roman"/>
          <w:b w:val="0"/>
          <w:i w:val="0"/>
          <w:color w:val="000000"/>
          <w:sz w:val="28"/>
        </w:rPr>
        <w:t>, the €806.9 bn recovery instrument adopted in 2020, routes most of its money through the Recovery and Resilience Facility, which carries a binding 37 per cent climate spending earmark on national plans [16]. The mechanism marks the first large issuance of common European debt and connects pandemic recovery to the decarbonisation agenda, embedding climate conditionality into mainstream fiscal transfers.</w:t>
      </w:r>
    </w:p>
    <w:p>
      <w:pPr>
        <w:spacing w:line="360" w:lineRule="auto" w:after="0"/>
        <w:ind w:firstLine="709"/>
        <w:jc w:val="both"/>
      </w:pPr>
      <w:r>
        <w:rPr>
          <w:rFonts w:ascii="Times New Roman" w:hAnsi="Times New Roman" w:cs="Times New Roman" w:eastAsia="Times New Roman"/>
          <w:rFonts w:ascii="Times New Roman" w:hAnsi="Times New Roman"/>
          <w:b w:val="0"/>
          <w:i w:val="0"/>
          <w:color w:val="000000"/>
          <w:sz w:val="28"/>
        </w:rPr>
        <w:t xml:space="preserve">On top of this envelope, the </w:t>
      </w:r>
      <w:r>
        <w:rPr>
          <w:rFonts w:ascii="Times New Roman" w:hAnsi="Times New Roman" w:cs="Times New Roman" w:eastAsia="Times New Roman"/>
          <w:rFonts w:ascii="Times New Roman" w:hAnsi="Times New Roman"/>
          <w:b/>
          <w:i w:val="0"/>
          <w:color w:val="000000"/>
          <w:sz w:val="28"/>
        </w:rPr>
        <w:t>Just Transition Mechanism</w:t>
      </w:r>
      <w:r>
        <w:rPr>
          <w:rFonts w:ascii="Times New Roman" w:hAnsi="Times New Roman" w:cs="Times New Roman" w:eastAsia="Times New Roman"/>
          <w:rFonts w:ascii="Times New Roman" w:hAnsi="Times New Roman"/>
          <w:b w:val="0"/>
          <w:i w:val="0"/>
          <w:color w:val="000000"/>
          <w:sz w:val="28"/>
        </w:rPr>
        <w:t xml:space="preserve"> mobilises roughly €55 bn to support regions dependent on fossil extraction and carbon-intensive industries, with the </w:t>
      </w:r>
      <w:r>
        <w:rPr>
          <w:rFonts w:ascii="Times New Roman" w:hAnsi="Times New Roman" w:cs="Times New Roman" w:eastAsia="Times New Roman"/>
          <w:rFonts w:ascii="Times New Roman" w:hAnsi="Times New Roman"/>
          <w:b/>
          <w:i w:val="0"/>
          <w:color w:val="000000"/>
          <w:sz w:val="28"/>
        </w:rPr>
        <w:t>Just Transition Fund</w:t>
      </w:r>
      <w:r>
        <w:rPr>
          <w:rFonts w:ascii="Times New Roman" w:hAnsi="Times New Roman" w:cs="Times New Roman" w:eastAsia="Times New Roman"/>
          <w:rFonts w:ascii="Times New Roman" w:hAnsi="Times New Roman"/>
          <w:b w:val="0"/>
          <w:i w:val="0"/>
          <w:color w:val="000000"/>
          <w:sz w:val="28"/>
        </w:rPr>
        <w:t xml:space="preserve"> providing roughly €19.3 bn of grant-based assistance for reskilling, economic diversification and site remediation. </w:t>
      </w:r>
      <w:r>
        <w:rPr>
          <w:rFonts w:ascii="Times New Roman" w:hAnsi="Times New Roman" w:cs="Times New Roman" w:eastAsia="Times New Roman"/>
          <w:rFonts w:ascii="Times New Roman" w:hAnsi="Times New Roman"/>
          <w:b/>
          <w:i w:val="0"/>
          <w:color w:val="000000"/>
          <w:sz w:val="28"/>
        </w:rPr>
        <w:t>InvestEU</w:t>
      </w:r>
      <w:r>
        <w:rPr>
          <w:rFonts w:ascii="Times New Roman" w:hAnsi="Times New Roman" w:cs="Times New Roman" w:eastAsia="Times New Roman"/>
          <w:rFonts w:ascii="Times New Roman" w:hAnsi="Times New Roman"/>
          <w:b w:val="0"/>
          <w:i w:val="0"/>
          <w:color w:val="000000"/>
          <w:sz w:val="28"/>
        </w:rPr>
        <w:t xml:space="preserve"> offers guarantees that crowd in private capital toward sustainable infrastructure, while the </w:t>
      </w:r>
      <w:r>
        <w:rPr>
          <w:rFonts w:ascii="Times New Roman" w:hAnsi="Times New Roman" w:cs="Times New Roman" w:eastAsia="Times New Roman"/>
          <w:rFonts w:ascii="Times New Roman" w:hAnsi="Times New Roman"/>
          <w:b/>
          <w:i w:val="0"/>
          <w:color w:val="000000"/>
          <w:sz w:val="28"/>
        </w:rPr>
        <w:t>Modernisation Fund</w:t>
      </w:r>
      <w:r>
        <w:rPr>
          <w:rFonts w:ascii="Times New Roman" w:hAnsi="Times New Roman" w:cs="Times New Roman" w:eastAsia="Times New Roman"/>
          <w:rFonts w:ascii="Times New Roman" w:hAnsi="Times New Roman"/>
          <w:b w:val="0"/>
          <w:i w:val="0"/>
          <w:color w:val="000000"/>
          <w:sz w:val="28"/>
        </w:rPr>
        <w:t xml:space="preserve">, financed by auctioning revenues from the Emissions Trading System, channels resources to lower-income member states for energy system upgrades. The </w:t>
      </w:r>
      <w:r>
        <w:rPr>
          <w:rFonts w:ascii="Times New Roman" w:hAnsi="Times New Roman" w:cs="Times New Roman" w:eastAsia="Times New Roman"/>
          <w:rFonts w:ascii="Times New Roman" w:hAnsi="Times New Roman"/>
          <w:b/>
          <w:i w:val="0"/>
          <w:color w:val="000000"/>
          <w:sz w:val="28"/>
        </w:rPr>
        <w:t>LIFE programme</w:t>
      </w:r>
      <w:r>
        <w:rPr>
          <w:rFonts w:ascii="Times New Roman" w:hAnsi="Times New Roman" w:cs="Times New Roman" w:eastAsia="Times New Roman"/>
          <w:rFonts w:ascii="Times New Roman" w:hAnsi="Times New Roman"/>
          <w:b w:val="0"/>
          <w:i w:val="0"/>
          <w:color w:val="000000"/>
          <w:sz w:val="28"/>
        </w:rPr>
        <w:t xml:space="preserve"> retains its long-standing role for nature, circular economy and climate governance projects on a smaller scale.</w:t>
      </w:r>
    </w:p>
    <w:p>
      <w:pPr>
        <w:spacing w:line="360" w:lineRule="auto" w:after="0"/>
        <w:ind w:firstLine="709"/>
        <w:jc w:val="both"/>
      </w:pPr>
      <w:r>
        <w:rPr>
          <w:rFonts w:ascii="Times New Roman" w:hAnsi="Times New Roman" w:cs="Times New Roman" w:eastAsia="Times New Roman"/>
          <w:rFonts w:ascii="Times New Roman" w:hAnsi="Times New Roman"/>
          <w:b w:val="0"/>
          <w:i w:val="0"/>
          <w:color w:val="000000"/>
          <w:sz w:val="28"/>
        </w:rPr>
        <w:t>Tagliapietra and Wolff argue that the fiscal significance of these instruments lies less in their headline volume than in the precedent they set for permanent climate-oriented borrowing capacity [16]. They further contend that the external dimension of the Green Deal, including the Carbon Border Adjustment Mechanism and emerging industrial subsidies, implies a turn toward a climate-club logic in which trade and finance instruments police carbon competitiveness with third partners [16]. The financing architecture thus operates simultaneously as a domestic transition lever and as a geo-economic projection of regulatory power.</w:t>
      </w:r>
      <w:r>
        <w:br w:type="page"/>
      </w:r>
    </w:p>
    <w:p>
      <w:pPr>
        <w:pStyle w:val="Heading1"/>
        <w:spacing w:line="360" w:lineRule="auto" w:before="240" w:after="120"/>
        <w:ind w:firstLine="0"/>
        <w:jc w:val="center"/>
      </w:pPr>
      <w:r>
        <w:rPr>
          <w:rFonts w:ascii="Times New Roman" w:hAnsi="Times New Roman" w:cs="Times New Roman" w:eastAsia="Times New Roman"/>
          <w:rFonts w:ascii="Times New Roman" w:hAnsi="Times New Roman"/>
          <w:b/>
          <w:i w:val="0"/>
          <w:color w:val="000000"/>
          <w:sz w:val="32"/>
        </w:rPr>
        <w:t>3 FIT FOR 55 AND THE 2030 TARGETS</w:t>
      </w:r>
    </w:p>
    <w:p>
      <w:pPr>
        <w:pStyle w:val="Heading2"/>
        <w:spacing w:line="360" w:lineRule="auto" w:before="240" w:after="120"/>
        <w:ind w:firstLine="0"/>
        <w:jc w:val="left"/>
      </w:pPr>
      <w:r>
        <w:rPr>
          <w:rFonts w:ascii="Times New Roman" w:hAnsi="Times New Roman" w:cs="Times New Roman" w:eastAsia="Times New Roman"/>
          <w:rFonts w:ascii="Times New Roman" w:hAnsi="Times New Roman"/>
          <w:b/>
          <w:i w:val="0"/>
          <w:color w:val="000000"/>
          <w:sz w:val="28"/>
        </w:rPr>
        <w:t>3.1 The -55% Target and Sectoral Architecture</w:t>
      </w:r>
    </w:p>
    <w:p>
      <w:pPr>
        <w:spacing w:line="360" w:lineRule="auto" w:after="0"/>
        <w:ind w:firstLine="709"/>
        <w:jc w:val="both"/>
      </w:pPr>
      <w:r>
        <w:rPr>
          <w:rFonts w:ascii="Times New Roman" w:hAnsi="Times New Roman" w:cs="Times New Roman" w:eastAsia="Times New Roman"/>
          <w:rFonts w:ascii="Times New Roman" w:hAnsi="Times New Roman"/>
          <w:b w:val="0"/>
          <w:i w:val="0"/>
          <w:color w:val="000000"/>
          <w:sz w:val="28"/>
        </w:rPr>
        <w:t>The Fit for 55 package, tabled by the Commission in July 2021, is the working translation of the headline obligation enshrined in the European Climate Law [2][3]. Rather than one instrument, the package bundles roughly a dozen interlocking proposals that split the economy into three regulatory tracks. The first track comprises sectors covered by the emissions trading system - electricity generation, energy-intensive industry, intra-EU aviation, and, from 2024, maritime transport - where a falling cap drives reductions through carbon pricing. The second track, governed by the Effort Sharing Regulation, allocates binding national targets for buildings, road transport, agriculture, small industry, and waste, sectors where Member State policy mixes remain decisive. The third track addresses land use through the LULUCF regulation, which sets a Union-wide net removal target of -310 Mt CO2-eq by 2030, restoring the sink function that has weakened over the past decade. This tripartite architecture mirrors the diagnosis of the European Environment Agency's annual stock-take, which has repeatedly underlined that uneven sectoral progress, rather than uniform shortfall, drives aggregate underperformance [9]. The legislative logic is therefore to combine a tightened market signal in price-elastic sectors with sharpened national accountability where pricing alone is politically or technically insufficient.</w:t>
      </w:r>
    </w:p>
    <w:p>
      <w:pPr>
        <w:pStyle w:val="Heading2"/>
        <w:spacing w:line="360" w:lineRule="auto" w:before="240" w:after="120"/>
        <w:ind w:firstLine="0"/>
        <w:jc w:val="left"/>
      </w:pPr>
      <w:r>
        <w:rPr>
          <w:rFonts w:ascii="Times New Roman" w:hAnsi="Times New Roman" w:cs="Times New Roman" w:eastAsia="Times New Roman"/>
          <w:rFonts w:ascii="Times New Roman" w:hAnsi="Times New Roman"/>
          <w:b/>
          <w:i w:val="0"/>
          <w:color w:val="000000"/>
          <w:sz w:val="28"/>
        </w:rPr>
        <w:t>3.2 EU ETS Revision and ETS2</w:t>
      </w:r>
    </w:p>
    <w:p>
      <w:pPr>
        <w:spacing w:line="360" w:lineRule="auto" w:after="0"/>
        <w:ind w:firstLine="709"/>
        <w:jc w:val="both"/>
      </w:pPr>
      <w:r>
        <w:rPr>
          <w:rFonts w:ascii="Times New Roman" w:hAnsi="Times New Roman" w:cs="Times New Roman" w:eastAsia="Times New Roman"/>
          <w:rFonts w:ascii="Times New Roman" w:hAnsi="Times New Roman"/>
          <w:b w:val="0"/>
          <w:i w:val="0"/>
          <w:color w:val="000000"/>
          <w:sz w:val="28"/>
        </w:rPr>
        <w:t xml:space="preserve">Directive (EU) 2023/959 recast the </w:t>
      </w:r>
      <w:r>
        <w:rPr>
          <w:rFonts w:ascii="Times New Roman" w:hAnsi="Times New Roman" w:cs="Times New Roman" w:eastAsia="Times New Roman"/>
          <w:rFonts w:ascii="Times New Roman" w:hAnsi="Times New Roman"/>
          <w:b/>
          <w:i w:val="0"/>
          <w:color w:val="000000"/>
          <w:sz w:val="28"/>
        </w:rPr>
        <w:t>EU ETS</w:t>
      </w:r>
      <w:r>
        <w:rPr>
          <w:rFonts w:ascii="Times New Roman" w:hAnsi="Times New Roman" w:cs="Times New Roman" w:eastAsia="Times New Roman"/>
          <w:rFonts w:ascii="Times New Roman" w:hAnsi="Times New Roman"/>
          <w:b w:val="0"/>
          <w:i w:val="0"/>
          <w:color w:val="000000"/>
          <w:sz w:val="28"/>
        </w:rPr>
        <w:t xml:space="preserve"> in line with the -55% trajectory [4]. The linear reduction factor governing the annual contraction of the cap was raised from 2.2% to 4.3% for 2024-2027 and to 4.4% from 2028, accompanied by a one-off rebasing that lowered the cap by 90 Mt in 2024 and a further 27 Mt in 2026. The intake rate of the </w:t>
      </w:r>
      <w:r>
        <w:rPr>
          <w:rFonts w:ascii="Times New Roman" w:hAnsi="Times New Roman" w:cs="Times New Roman" w:eastAsia="Times New Roman"/>
          <w:rFonts w:ascii="Times New Roman" w:hAnsi="Times New Roman"/>
          <w:b/>
          <w:i w:val="0"/>
          <w:color w:val="000000"/>
          <w:sz w:val="28"/>
        </w:rPr>
        <w:t>Market Stability Reserve</w:t>
      </w:r>
      <w:r>
        <w:rPr>
          <w:rFonts w:ascii="Times New Roman" w:hAnsi="Times New Roman" w:cs="Times New Roman" w:eastAsia="Times New Roman"/>
          <w:rFonts w:ascii="Times New Roman" w:hAnsi="Times New Roman"/>
          <w:b w:val="0"/>
          <w:i w:val="0"/>
          <w:color w:val="000000"/>
          <w:sz w:val="28"/>
        </w:rPr>
        <w:t xml:space="preserve"> was doubled to 24% until 2030, keeping the surplus-absorption mechanism designed after the 2008 demand collapse in place. Free allocation to industrial installations, the main historic concession to carbon-leakage concerns, will be phased out between 2026 and 2034 in lock-step with the gradual introduction of the border adjustment, ensuring that no sector receives double protection. Maritime transport entered the system in 2024, initially for 40% of emissions on covered voyages and rising to full coverage by 2026, an expansion that brings approximately 90 Mt of additional emissions under the cap.</w:t>
      </w:r>
    </w:p>
    <w:p>
      <w:pPr>
        <w:spacing w:line="360" w:lineRule="auto" w:after="0"/>
        <w:ind w:firstLine="709"/>
        <w:jc w:val="both"/>
      </w:pPr>
      <w:r>
        <w:rPr>
          <w:rFonts w:ascii="Times New Roman" w:hAnsi="Times New Roman" w:cs="Times New Roman" w:eastAsia="Times New Roman"/>
          <w:rFonts w:ascii="Times New Roman" w:hAnsi="Times New Roman"/>
          <w:b w:val="0"/>
          <w:i w:val="0"/>
          <w:color w:val="000000"/>
          <w:sz w:val="28"/>
        </w:rPr>
        <w:t xml:space="preserve">The most politically delicate innovation is </w:t>
      </w:r>
      <w:r>
        <w:rPr>
          <w:rFonts w:ascii="Times New Roman" w:hAnsi="Times New Roman" w:cs="Times New Roman" w:eastAsia="Times New Roman"/>
          <w:rFonts w:ascii="Times New Roman" w:hAnsi="Times New Roman"/>
          <w:b/>
          <w:i w:val="0"/>
          <w:color w:val="000000"/>
          <w:sz w:val="28"/>
        </w:rPr>
        <w:t>ETS2</w:t>
      </w:r>
      <w:r>
        <w:rPr>
          <w:rFonts w:ascii="Times New Roman" w:hAnsi="Times New Roman" w:cs="Times New Roman" w:eastAsia="Times New Roman"/>
          <w:rFonts w:ascii="Times New Roman" w:hAnsi="Times New Roman"/>
          <w:b w:val="0"/>
          <w:i w:val="0"/>
          <w:color w:val="000000"/>
          <w:sz w:val="28"/>
        </w:rPr>
        <w:t>, a separate emissions trading system covering fuels supplied for road transport and buildings, to start in 2027 - or 2028 should energy prices breach the safeguard thresholds calibrated against gas and oil benchmarks. Recognising the regressive incidence of fuel pricing on lower-income households, the legislator coupled ETS2 to the Social Climate Fund, endowed with up to EUR 86.7 billion over 2026-2032 [2]. The Fund acts as the political cushion that made upstream pricing of household and transport fuels negotiable in the Council.</w:t>
      </w:r>
    </w:p>
    <w:p>
      <w:pPr>
        <w:pStyle w:val="Heading2"/>
        <w:spacing w:line="360" w:lineRule="auto" w:before="240" w:after="120"/>
        <w:ind w:firstLine="0"/>
        <w:jc w:val="left"/>
      </w:pPr>
      <w:r>
        <w:rPr>
          <w:rFonts w:ascii="Times New Roman" w:hAnsi="Times New Roman" w:cs="Times New Roman" w:eastAsia="Times New Roman"/>
          <w:rFonts w:ascii="Times New Roman" w:hAnsi="Times New Roman"/>
          <w:b/>
          <w:i w:val="0"/>
          <w:color w:val="000000"/>
          <w:sz w:val="28"/>
        </w:rPr>
        <w:t>3.3 The Carbon Border Adjustment Mechanism (CBAM)</w:t>
      </w:r>
    </w:p>
    <w:p>
      <w:pPr>
        <w:spacing w:line="360" w:lineRule="auto" w:after="0"/>
        <w:ind w:firstLine="709"/>
        <w:jc w:val="both"/>
      </w:pPr>
      <w:r>
        <w:rPr>
          <w:rFonts w:ascii="Times New Roman" w:hAnsi="Times New Roman" w:cs="Times New Roman" w:eastAsia="Times New Roman"/>
          <w:rFonts w:ascii="Times New Roman" w:hAnsi="Times New Roman"/>
          <w:b w:val="0"/>
          <w:i w:val="0"/>
          <w:color w:val="000000"/>
          <w:sz w:val="28"/>
        </w:rPr>
        <w:t xml:space="preserve">Regulation (EU) 2023/956 established the </w:t>
      </w:r>
      <w:r>
        <w:rPr>
          <w:rFonts w:ascii="Times New Roman" w:hAnsi="Times New Roman" w:cs="Times New Roman" w:eastAsia="Times New Roman"/>
          <w:rFonts w:ascii="Times New Roman" w:hAnsi="Times New Roman"/>
          <w:b/>
          <w:i w:val="0"/>
          <w:color w:val="000000"/>
          <w:sz w:val="28"/>
        </w:rPr>
        <w:t>CBAM</w:t>
      </w:r>
      <w:r>
        <w:rPr>
          <w:rFonts w:ascii="Times New Roman" w:hAnsi="Times New Roman" w:cs="Times New Roman" w:eastAsia="Times New Roman"/>
          <w:rFonts w:ascii="Times New Roman" w:hAnsi="Times New Roman"/>
          <w:b w:val="0"/>
          <w:i w:val="0"/>
          <w:color w:val="000000"/>
          <w:sz w:val="28"/>
        </w:rPr>
        <w:t xml:space="preserve"> as the external complement of the revised ETS [5]. A transitional phase, running since October 2023, requires importers to report embedded emissions on covered goods without yet paying a levy. From 1 January 2026 financial obligations begin and rise in tandem with the withdrawal of free ETS allowances and reaching full coverage by 2034. The initial sectoral perimeter - cement, iron and steel, aluminium, fertilisers, electricity, and hydrogen - was selected on grounds of carbon-intensity, trade exposure, and administrative tractability, with a review clause flagging extension to downstream products and, possibly, to indirect emissions.</w:t>
      </w:r>
    </w:p>
    <w:p>
      <w:pPr>
        <w:spacing w:line="360" w:lineRule="auto" w:after="0"/>
        <w:ind w:firstLine="709"/>
        <w:jc w:val="both"/>
      </w:pPr>
      <w:r>
        <w:rPr>
          <w:rFonts w:ascii="Times New Roman" w:hAnsi="Times New Roman" w:cs="Times New Roman" w:eastAsia="Times New Roman"/>
          <w:rFonts w:ascii="Times New Roman" w:hAnsi="Times New Roman"/>
          <w:b w:val="0"/>
          <w:i w:val="0"/>
          <w:color w:val="000000"/>
          <w:sz w:val="28"/>
        </w:rPr>
        <w:t xml:space="preserve">The mechanism's design mirrors the weekly ETS allowance price, so that an importer effectively pays the same carbon cost as a Union producer, net of any verified carbon price already paid in the country of origin. This equivalence is the core of the WTO-compatibility argument, since GATT Article III tolerates measures that do not afford less favourable treatment to imports than to "like" domestic products. Marcu et al. caution that the credibility of this defence depends on rigorous methodologies for embedded-emissions accounting and on transparent recognition of foreign carbon prices [17]; Grubb et al. argue that the asymmetry between covered and non-covered sectors leaves residual litigation risk [15]. Beyond legal technicalities, </w:t>
      </w:r>
      <w:r>
        <w:rPr>
          <w:rFonts w:ascii="Times New Roman" w:hAnsi="Times New Roman" w:cs="Times New Roman" w:eastAsia="Times New Roman"/>
          <w:rFonts w:ascii="Times New Roman" w:hAnsi="Times New Roman"/>
          <w:b/>
          <w:i w:val="0"/>
          <w:color w:val="000000"/>
          <w:sz w:val="28"/>
        </w:rPr>
        <w:t>CBAM</w:t>
      </w:r>
      <w:r>
        <w:rPr>
          <w:rFonts w:ascii="Times New Roman" w:hAnsi="Times New Roman" w:cs="Times New Roman" w:eastAsia="Times New Roman"/>
          <w:rFonts w:ascii="Times New Roman" w:hAnsi="Times New Roman"/>
          <w:b w:val="0"/>
          <w:i w:val="0"/>
          <w:color w:val="000000"/>
          <w:sz w:val="28"/>
        </w:rPr>
        <w:t xml:space="preserve"> carries a strategic-diplomatic dimension. Tagliapietra and Wolff read it as the foundation of a nascent "climate club" that uses market access to incentivise the adoption of carbon pricing by trading partners [16], a logic that has shaped reactions from Brasília to New Delhi and intensified bilateral consultations with the United Kingdom, Türkiye, and the Western Balkans.</w:t>
      </w:r>
    </w:p>
    <w:p>
      <w:pPr>
        <w:pStyle w:val="Heading2"/>
        <w:spacing w:line="360" w:lineRule="auto" w:before="240" w:after="120"/>
        <w:ind w:firstLine="0"/>
        <w:jc w:val="left"/>
      </w:pPr>
      <w:r>
        <w:rPr>
          <w:rFonts w:ascii="Times New Roman" w:hAnsi="Times New Roman" w:cs="Times New Roman" w:eastAsia="Times New Roman"/>
          <w:rFonts w:ascii="Times New Roman" w:hAnsi="Times New Roman"/>
          <w:b/>
          <w:i w:val="0"/>
          <w:color w:val="000000"/>
          <w:sz w:val="28"/>
        </w:rPr>
        <w:t>3.4 Renewable Energy Directive III and the Energy Efficiency Directive Recast</w:t>
      </w:r>
    </w:p>
    <w:p>
      <w:pPr>
        <w:spacing w:line="360" w:lineRule="auto" w:after="0"/>
        <w:ind w:firstLine="709"/>
        <w:jc w:val="both"/>
      </w:pPr>
      <w:r>
        <w:rPr>
          <w:rFonts w:ascii="Times New Roman" w:hAnsi="Times New Roman" w:cs="Times New Roman" w:eastAsia="Times New Roman"/>
          <w:rFonts w:ascii="Times New Roman" w:hAnsi="Times New Roman"/>
          <w:b w:val="0"/>
          <w:i w:val="0"/>
          <w:color w:val="000000"/>
          <w:sz w:val="28"/>
        </w:rPr>
        <w:t xml:space="preserve">Directive (EU) 2023/2413, commonly known as </w:t>
      </w:r>
      <w:r>
        <w:rPr>
          <w:rFonts w:ascii="Times New Roman" w:hAnsi="Times New Roman" w:cs="Times New Roman" w:eastAsia="Times New Roman"/>
          <w:rFonts w:ascii="Times New Roman" w:hAnsi="Times New Roman"/>
          <w:b/>
          <w:i w:val="0"/>
          <w:color w:val="000000"/>
          <w:sz w:val="28"/>
        </w:rPr>
        <w:t>RED III</w:t>
      </w:r>
      <w:r>
        <w:rPr>
          <w:rFonts w:ascii="Times New Roman" w:hAnsi="Times New Roman" w:cs="Times New Roman" w:eastAsia="Times New Roman"/>
          <w:rFonts w:ascii="Times New Roman" w:hAnsi="Times New Roman"/>
          <w:b w:val="0"/>
          <w:i w:val="0"/>
          <w:color w:val="000000"/>
          <w:sz w:val="28"/>
        </w:rPr>
        <w:t>, raised the binding Union target for the share of renewables in gross final energy consumption to 42.5% by 2030, with an indicative, non-binding top-up of 2.5 percentage points to be pursued collectively [6]. To accelerate deployment, Member States must mark renewables-acceleration areas in which permitting is presumed compatible with environmental law and procedural deadlines are sharply curtailed. Sectoral sub-targets sharpen the headline figure: a 49% renewables share in buildings by 2030, an annual increase of at least 1.6 percentage points in industry, and a combined transport target expressible either as a 29% renewables share or as a 14.5% reduction in greenhouse-gas intensity.</w:t>
      </w:r>
    </w:p>
    <w:p>
      <w:pPr>
        <w:spacing w:line="360" w:lineRule="auto" w:after="0"/>
        <w:ind w:firstLine="709"/>
        <w:jc w:val="both"/>
      </w:pPr>
      <w:r>
        <w:rPr>
          <w:rFonts w:ascii="Times New Roman" w:hAnsi="Times New Roman" w:cs="Times New Roman" w:eastAsia="Times New Roman"/>
          <w:rFonts w:ascii="Times New Roman" w:hAnsi="Times New Roman"/>
          <w:b w:val="0"/>
          <w:i w:val="0"/>
          <w:color w:val="000000"/>
          <w:sz w:val="28"/>
        </w:rPr>
        <w:t xml:space="preserve">The </w:t>
      </w:r>
      <w:r>
        <w:rPr>
          <w:rFonts w:ascii="Times New Roman" w:hAnsi="Times New Roman" w:cs="Times New Roman" w:eastAsia="Times New Roman"/>
          <w:rFonts w:ascii="Times New Roman" w:hAnsi="Times New Roman"/>
          <w:b/>
          <w:i w:val="0"/>
          <w:color w:val="000000"/>
          <w:sz w:val="28"/>
        </w:rPr>
        <w:t>EED recast</w:t>
      </w:r>
      <w:r>
        <w:rPr>
          <w:rFonts w:ascii="Times New Roman" w:hAnsi="Times New Roman" w:cs="Times New Roman" w:eastAsia="Times New Roman"/>
          <w:rFonts w:ascii="Times New Roman" w:hAnsi="Times New Roman"/>
          <w:b w:val="0"/>
          <w:i w:val="0"/>
          <w:color w:val="000000"/>
          <w:sz w:val="28"/>
        </w:rPr>
        <w:t xml:space="preserve">, Directive (EU) 2023/1791, complements </w:t>
      </w:r>
      <w:r>
        <w:rPr>
          <w:rFonts w:ascii="Times New Roman" w:hAnsi="Times New Roman" w:cs="Times New Roman" w:eastAsia="Times New Roman"/>
          <w:rFonts w:ascii="Times New Roman" w:hAnsi="Times New Roman"/>
          <w:b/>
          <w:i w:val="0"/>
          <w:color w:val="000000"/>
          <w:sz w:val="28"/>
        </w:rPr>
        <w:t>RED III</w:t>
      </w:r>
      <w:r>
        <w:rPr>
          <w:rFonts w:ascii="Times New Roman" w:hAnsi="Times New Roman" w:cs="Times New Roman" w:eastAsia="Times New Roman"/>
          <w:rFonts w:ascii="Times New Roman" w:hAnsi="Times New Roman"/>
          <w:b w:val="0"/>
          <w:i w:val="0"/>
          <w:color w:val="000000"/>
          <w:sz w:val="28"/>
        </w:rPr>
        <w:t xml:space="preserve"> by tightening the demand side [7]. It mandates a binding reduction of 11.7% in Union final energy consumption by 2030 against the 2020 reference projection, turning what had been an indicative aggregate into a Member State obligation distributed through a formulaic contribution. The annual energy-savings obligation imposed on Member States rises along a stepped trajectory to an average of around 1.49% over 2024-2030, almost twice the rate under the 2018 framework. Public bodies must renovate at least 3% of their floor area annually, a provision intended to mobilise demand for deep-renovation supply chains. Finally, the directive codifies the "energy efficiency first" principle, obliging policy-makers to test major planning and investment decisions in the energy system against demand-side alternatives before committing supply-side capital - a procedural innovation whose enforcement will largely depend on national administrative capacity [12].</w:t>
      </w:r>
    </w:p>
    <w:p>
      <w:pPr>
        <w:pStyle w:val="Heading2"/>
        <w:spacing w:line="360" w:lineRule="auto" w:before="240" w:after="120"/>
        <w:ind w:firstLine="0"/>
        <w:jc w:val="left"/>
      </w:pPr>
      <w:r>
        <w:rPr>
          <w:rFonts w:ascii="Times New Roman" w:hAnsi="Times New Roman" w:cs="Times New Roman" w:eastAsia="Times New Roman"/>
          <w:rFonts w:ascii="Times New Roman" w:hAnsi="Times New Roman"/>
          <w:b/>
          <w:i w:val="0"/>
          <w:color w:val="000000"/>
          <w:sz w:val="28"/>
        </w:rPr>
        <w:t>3.5 National Energy and Climate Plans (NECPs)</w:t>
      </w:r>
    </w:p>
    <w:p>
      <w:pPr>
        <w:spacing w:line="360" w:lineRule="auto" w:after="0"/>
        <w:ind w:firstLine="709"/>
        <w:jc w:val="both"/>
      </w:pPr>
      <w:r>
        <w:rPr>
          <w:rFonts w:ascii="Times New Roman" w:hAnsi="Times New Roman" w:cs="Times New Roman" w:eastAsia="Times New Roman"/>
          <w:rFonts w:ascii="Times New Roman" w:hAnsi="Times New Roman"/>
          <w:b w:val="0"/>
          <w:i w:val="0"/>
          <w:color w:val="000000"/>
          <w:sz w:val="28"/>
        </w:rPr>
        <w:t>The translation of these Union instruments into national trajectories occurs through the National Energy and Climate Plans, the integrated planning device introduced by Regulation (EU) 2018/1999 to discipline Member State reporting across the five dimensions of the Energy Union. Updated NECPs were due in June 2024, and the Commission's subsequent assessment exposed an aggregate shortfall: implementation of the measures notified by Member States would deliver around -43% by 2030, well short of the legally binding 55% [9]. The gap is concentrated in transport, buildings, and agriculture - precisely the sectors least responsive to the ETS price signal - and reflects both delayed transposition of the Fit for 55 acquis and uneven administrative capacity. The implementation gap, rather than the ambition of headline targets, has therefore emerged as the dominant risk to the 2030 architecture, shifting the Commission's enforcement attention to infringement proceedings and on the iterative governance cycle that NECPs were designed to sustain [14].</w:t>
      </w:r>
      <w:r>
        <w:br w:type="page"/>
      </w:r>
    </w:p>
    <w:p>
      <w:pPr>
        <w:pStyle w:val="Heading1"/>
        <w:spacing w:line="360" w:lineRule="auto" w:before="240" w:after="120"/>
        <w:ind w:firstLine="0"/>
        <w:jc w:val="center"/>
      </w:pPr>
      <w:r>
        <w:rPr>
          <w:rFonts w:ascii="Times New Roman" w:hAnsi="Times New Roman" w:cs="Times New Roman" w:eastAsia="Times New Roman"/>
          <w:rFonts w:ascii="Times New Roman" w:hAnsi="Times New Roman"/>
          <w:b/>
          <w:i w:val="0"/>
          <w:color w:val="000000"/>
          <w:sz w:val="32"/>
        </w:rPr>
        <w:t>4 IMPLEMENTATION CHALLENGES AND POLITICAL ECONOMY</w:t>
      </w:r>
    </w:p>
    <w:p>
      <w:pPr>
        <w:pStyle w:val="Heading2"/>
        <w:spacing w:line="360" w:lineRule="auto" w:before="240" w:after="120"/>
        <w:ind w:firstLine="0"/>
        <w:jc w:val="left"/>
      </w:pPr>
      <w:r>
        <w:rPr>
          <w:rFonts w:ascii="Times New Roman" w:hAnsi="Times New Roman" w:cs="Times New Roman" w:eastAsia="Times New Roman"/>
          <w:rFonts w:ascii="Times New Roman" w:hAnsi="Times New Roman"/>
          <w:b/>
          <w:i w:val="0"/>
          <w:color w:val="000000"/>
          <w:sz w:val="28"/>
        </w:rPr>
        <w:t>4.1 Member-State Divergence</w:t>
      </w:r>
    </w:p>
    <w:p>
      <w:pPr>
        <w:spacing w:line="360" w:lineRule="auto" w:after="0"/>
        <w:ind w:firstLine="709"/>
        <w:jc w:val="both"/>
      </w:pPr>
      <w:r>
        <w:rPr>
          <w:rFonts w:ascii="Times New Roman" w:hAnsi="Times New Roman" w:cs="Times New Roman" w:eastAsia="Times New Roman"/>
          <w:rFonts w:ascii="Times New Roman" w:hAnsi="Times New Roman"/>
          <w:b w:val="0"/>
          <w:i w:val="0"/>
          <w:color w:val="000000"/>
          <w:sz w:val="28"/>
        </w:rPr>
        <w:t xml:space="preserve">The coalition geometry behind Fit for 55 exposes structural fault lines that qualified-majority voting in the Council can soften but not erase. The </w:t>
      </w:r>
      <w:r>
        <w:rPr>
          <w:rFonts w:ascii="Times New Roman" w:hAnsi="Times New Roman" w:cs="Times New Roman" w:eastAsia="Times New Roman"/>
          <w:rFonts w:ascii="Times New Roman" w:hAnsi="Times New Roman"/>
          <w:b/>
          <w:i w:val="0"/>
          <w:color w:val="000000"/>
          <w:sz w:val="28"/>
        </w:rPr>
        <w:t>Visegrád Group</w:t>
      </w:r>
      <w:r>
        <w:rPr>
          <w:rFonts w:ascii="Times New Roman" w:hAnsi="Times New Roman" w:cs="Times New Roman" w:eastAsia="Times New Roman"/>
          <w:rFonts w:ascii="Times New Roman" w:hAnsi="Times New Roman"/>
          <w:b w:val="0"/>
          <w:i w:val="0"/>
          <w:color w:val="000000"/>
          <w:sz w:val="28"/>
        </w:rPr>
        <w:t>, and Poland in particular, has consistently resisted accelerated coal phase-out timelines, grounding its position in employment exposure across Silesia and in the cost of capital for replacement generation [12]. Czech and Hungarian delegations pushed during the trilogues for softer thresholds on ETS2, citing distributional impacts on road transport and building heating fuels for lower-income households [4]. Nordic and Baltic Member States, by contrast, leveraged early decarbonisation of their power sectors to push more ambitious renewables shares under RED III, while southern states emphasised solar deployment and grid interconnection as conditions for accepting tighter binding targets [6]. The EEA stock-take confirms that variance in Member State performance is widening rather than narrowing, with several economies on track to miss their effort-sharing obligations under current policies [9]. Oberthür and Dupont identify a persistent coherence gap between headline targets struck at European Council level and the sectoral instruments negotiated in technical Councils, a gap that qualified-majority voting only partially closes when blocking minorities can form around compensation demands [12].</w:t>
      </w:r>
    </w:p>
    <w:p>
      <w:pPr>
        <w:pStyle w:val="Heading2"/>
        <w:spacing w:line="360" w:lineRule="auto" w:before="240" w:after="120"/>
        <w:ind w:firstLine="0"/>
        <w:jc w:val="left"/>
      </w:pPr>
      <w:r>
        <w:rPr>
          <w:rFonts w:ascii="Times New Roman" w:hAnsi="Times New Roman" w:cs="Times New Roman" w:eastAsia="Times New Roman"/>
          <w:rFonts w:ascii="Times New Roman" w:hAnsi="Times New Roman"/>
          <w:b/>
          <w:i w:val="0"/>
          <w:color w:val="000000"/>
          <w:sz w:val="28"/>
        </w:rPr>
        <w:t>4.2 The Just Transition Mechanism in Practice</w:t>
      </w:r>
    </w:p>
    <w:p>
      <w:pPr>
        <w:spacing w:line="360" w:lineRule="auto" w:after="0"/>
        <w:ind w:firstLine="709"/>
        <w:jc w:val="both"/>
      </w:pPr>
      <w:r>
        <w:rPr>
          <w:rFonts w:ascii="Times New Roman" w:hAnsi="Times New Roman" w:cs="Times New Roman" w:eastAsia="Times New Roman"/>
          <w:rFonts w:ascii="Times New Roman" w:hAnsi="Times New Roman"/>
          <w:b w:val="0"/>
          <w:i w:val="0"/>
          <w:color w:val="000000"/>
          <w:sz w:val="28"/>
        </w:rPr>
        <w:t xml:space="preserve">The Just Transition Mechanism operationalises the bargain that won assent from coal-dependent regions to the Green Deal trajectory. Its core, the </w:t>
      </w:r>
      <w:r>
        <w:rPr>
          <w:rFonts w:ascii="Times New Roman" w:hAnsi="Times New Roman" w:cs="Times New Roman" w:eastAsia="Times New Roman"/>
          <w:rFonts w:ascii="Times New Roman" w:hAnsi="Times New Roman"/>
          <w:b/>
          <w:i w:val="0"/>
          <w:color w:val="000000"/>
          <w:sz w:val="28"/>
        </w:rPr>
        <w:t>Just Transition Fund</w:t>
      </w:r>
      <w:r>
        <w:rPr>
          <w:rFonts w:ascii="Times New Roman" w:hAnsi="Times New Roman" w:cs="Times New Roman" w:eastAsia="Times New Roman"/>
          <w:rFonts w:ascii="Times New Roman" w:hAnsi="Times New Roman"/>
          <w:b w:val="0"/>
          <w:i w:val="0"/>
          <w:color w:val="000000"/>
          <w:sz w:val="28"/>
        </w:rPr>
        <w:t xml:space="preserve">, mobilises €19.3 bn over 2021-2027, disbursed against Territorial Just Transition Plans that each affected region must negotiate with the Commission [18]. Disbursement so far has concentrated on reskilling schemes, SME diversification grants and remediation of brownfield mining sites, with disbursement rates lagging initial profiles in several Polish and Romanian regions. E3G argues that the headline envelope is an order of magnitude below what serious regional reconversion would require, particularly once indirect employment in coal value chains is counted [18]. The Mechanism is deliberately linked to revenues from the ETS Modernisation Fund, which channels auction proceeds to lower-income Member States for grid and generation upgrades, thereby coupling the polluter-pays principle to cohesion [4]. From 2026 the </w:t>
      </w:r>
      <w:r>
        <w:rPr>
          <w:rFonts w:ascii="Times New Roman" w:hAnsi="Times New Roman" w:cs="Times New Roman" w:eastAsia="Times New Roman"/>
          <w:rFonts w:ascii="Times New Roman" w:hAnsi="Times New Roman"/>
          <w:b/>
          <w:i w:val="0"/>
          <w:color w:val="000000"/>
          <w:sz w:val="28"/>
        </w:rPr>
        <w:t>Social Climate Fund</w:t>
      </w:r>
      <w:r>
        <w:rPr>
          <w:rFonts w:ascii="Times New Roman" w:hAnsi="Times New Roman" w:cs="Times New Roman" w:eastAsia="Times New Roman"/>
          <w:rFonts w:ascii="Times New Roman" w:hAnsi="Times New Roman"/>
          <w:b w:val="0"/>
          <w:i w:val="0"/>
          <w:color w:val="000000"/>
          <w:sz w:val="28"/>
        </w:rPr>
        <w:t xml:space="preserve"> will act as the distributional companion to ETS2, redistributing roughly €65 bn of expected ETS2 revenues to vulnerable households and micro-enterprises [2]. On paper the architecture is coherent; politically it will live or die on visible local outcomes well before 2030.</w:t>
      </w:r>
    </w:p>
    <w:p>
      <w:pPr>
        <w:pStyle w:val="Heading2"/>
        <w:spacing w:line="360" w:lineRule="auto" w:before="240" w:after="120"/>
        <w:ind w:firstLine="0"/>
        <w:jc w:val="left"/>
      </w:pPr>
      <w:r>
        <w:rPr>
          <w:rFonts w:ascii="Times New Roman" w:hAnsi="Times New Roman" w:cs="Times New Roman" w:eastAsia="Times New Roman"/>
          <w:rFonts w:ascii="Times New Roman" w:hAnsi="Times New Roman"/>
          <w:b/>
          <w:i w:val="0"/>
          <w:color w:val="000000"/>
          <w:sz w:val="28"/>
        </w:rPr>
        <w:t>4.3 The 2022 Energy Crisis and REPowerEU</w:t>
      </w:r>
    </w:p>
    <w:p>
      <w:pPr>
        <w:spacing w:line="360" w:lineRule="auto" w:after="0"/>
        <w:ind w:firstLine="709"/>
        <w:jc w:val="both"/>
      </w:pPr>
      <w:r>
        <w:rPr>
          <w:rFonts w:ascii="Times New Roman" w:hAnsi="Times New Roman" w:cs="Times New Roman" w:eastAsia="Times New Roman"/>
          <w:rFonts w:ascii="Times New Roman" w:hAnsi="Times New Roman"/>
          <w:b w:val="0"/>
          <w:i w:val="0"/>
          <w:color w:val="000000"/>
          <w:sz w:val="28"/>
        </w:rPr>
        <w:t xml:space="preserve">Russia's invasion of Ukraine and the gas-supply shock that followed prompted the </w:t>
      </w:r>
      <w:r>
        <w:rPr>
          <w:rFonts w:ascii="Times New Roman" w:hAnsi="Times New Roman" w:cs="Times New Roman" w:eastAsia="Times New Roman"/>
          <w:rFonts w:ascii="Times New Roman" w:hAnsi="Times New Roman"/>
          <w:b/>
          <w:i w:val="0"/>
          <w:color w:val="000000"/>
          <w:sz w:val="28"/>
        </w:rPr>
        <w:t>REPowerEU</w:t>
      </w:r>
      <w:r>
        <w:rPr>
          <w:rFonts w:ascii="Times New Roman" w:hAnsi="Times New Roman" w:cs="Times New Roman" w:eastAsia="Times New Roman"/>
          <w:rFonts w:ascii="Times New Roman" w:hAnsi="Times New Roman"/>
          <w:b w:val="0"/>
          <w:i w:val="0"/>
          <w:color w:val="000000"/>
          <w:sz w:val="28"/>
        </w:rPr>
        <w:t xml:space="preserve"> plan of May 2022, which mobilised approximately €300 bn through 2027 to diversify supply, accelerate renewables and reduce demand [8]. Council Regulation (EU) 2022/2577 introduced emergency permitting fast-tracks for renewables projects in designated go-to areas, shortening authorisation timelines that had been the binding constraint on wind and solar build-out. A short-run coal rebound in 2022 and early 2023, driven by gas substitution in power dispatch, co-existed with record additions of solar capacity and accelerated heat-pump deployment, illustrating the uneven pace of fossil retrenchment and low-carbon scale-up. Politically, the crisis reframed decarbonisation as a tool of energy security rather than a discretionary climate ambition, broadening the renewables coalition among Member States that had been sceptical on cost grounds. Crucially, REPowerEU reinforced rather than replaced the Fit for 55 trajectory, raising the renewables sub-target under RED III and tightening the Energy Efficiency Directive recast [6][7]. The EEA confirms that the post-2022 acceleration in deployment has narrowed, though not closed, the gap between projected emissions and the 55 per cent reduction pathway [9].</w:t>
      </w:r>
      <w:r>
        <w:br w:type="page"/>
      </w:r>
    </w:p>
    <w:p>
      <w:pPr>
        <w:pStyle w:val="Heading1"/>
        <w:spacing w:line="360" w:lineRule="auto" w:before="240" w:after="120"/>
        <w:ind w:firstLine="0"/>
        <w:jc w:val="center"/>
      </w:pPr>
      <w:r>
        <w:rPr>
          <w:rFonts w:ascii="Times New Roman" w:hAnsi="Times New Roman" w:cs="Times New Roman" w:eastAsia="Times New Roman"/>
          <w:rFonts w:ascii="Times New Roman" w:hAnsi="Times New Roman"/>
          <w:b/>
          <w:i w:val="0"/>
          <w:color w:val="000000"/>
          <w:sz w:val="32"/>
        </w:rPr>
        <w:t>CONCLUSIONS</w:t>
      </w:r>
    </w:p>
    <w:p>
      <w:pPr>
        <w:spacing w:line="360" w:lineRule="auto" w:after="0"/>
        <w:ind w:firstLine="709"/>
        <w:jc w:val="both"/>
      </w:pPr>
      <w:r>
        <w:rPr>
          <w:rFonts w:ascii="Times New Roman" w:hAnsi="Times New Roman" w:cs="Times New Roman" w:eastAsia="Times New Roman"/>
          <w:rFonts w:ascii="Times New Roman" w:hAnsi="Times New Roman"/>
          <w:b w:val="0"/>
          <w:i w:val="0"/>
          <w:color w:val="000000"/>
          <w:sz w:val="28"/>
        </w:rPr>
        <w:t>The trajectory traced above supports a balanced verdict on EU climate policy as it approaches the 2030 milestone. The Union has converted a quarter of a century of incremental learning - from the Kyoto burden-sharing arrangement, through the launch of the Emissions Trading System in 2005, to the layered packages of 2008, 2014 and 2018 - into a binding legal-economic architecture with no equivalent in international environmental governance. The European Climate Law turns the 2050 climate neutrality target and the -55% by 2030 obligation from aspiration into enforceable obligation [3]. The Fit for 55 package renders that obligation through thirteen interlocking instruments that cover carbon pricing, renewables deployment, energy efficiency, border adjustment and just-transition support [2][4][5][6][7]. NextGenerationEU and the Just Transition Mechanism give fiscal substance to the legal scaffolding, with a 37 per cent climate earmark on the EUR 806.9 billion recovery instrument and roughly EUR 55 billion devoted to the regions most exposed to transition costs [16][18]. On this measure, the answer to the guiding question is yes: the EU has succeeded in moving from voluntary ambition to binding architecture.</w:t>
      </w:r>
    </w:p>
    <w:p>
      <w:pPr>
        <w:spacing w:line="360" w:lineRule="auto" w:after="0"/>
        <w:ind w:firstLine="709"/>
        <w:jc w:val="both"/>
      </w:pPr>
      <w:r>
        <w:rPr>
          <w:rFonts w:ascii="Times New Roman" w:hAnsi="Times New Roman" w:cs="Times New Roman" w:eastAsia="Times New Roman"/>
          <w:rFonts w:ascii="Times New Roman" w:hAnsi="Times New Roman"/>
          <w:b w:val="0"/>
          <w:i w:val="0"/>
          <w:color w:val="000000"/>
          <w:sz w:val="28"/>
        </w:rPr>
        <w:t>Three gaps qualify that verdict. First, the EEA's implementation deficit is material. Under existing Member State measures the projected reduction for 2030 stands at roughly 43 per cent, more than ten points below the statutory target, with the shortfall concentrated in transport, buildings and agriculture [9]. National Energy and Climate Plans were designed precisely to discipline this delivery layer, yet the 2024 assessment confirms that the gap is widening, not closing, in several Member States. Second, the political acceptability of ETS2 and of the Carbon Border Adjustment Mechanism remains exposed. ETS2 places a direct price on household and transport fuels and depends on the Social Climate Fund to absorb distributional friction [2]; CBAM extends climate policy into trade and depends on continued WTO restraint by partners whose carbon-pricing settings differ sharply from the EU's [5][15][17]. Third, the Just Transition Fund's scale is widely seen as insufficient relative to the magnitude of regional reconversion required, particularly in Polish and Romanian coal regions [18].</w:t>
      </w:r>
    </w:p>
    <w:p>
      <w:pPr>
        <w:spacing w:line="360" w:lineRule="auto" w:after="0"/>
        <w:ind w:firstLine="709"/>
        <w:jc w:val="both"/>
      </w:pPr>
      <w:r>
        <w:rPr>
          <w:rFonts w:ascii="Times New Roman" w:hAnsi="Times New Roman" w:cs="Times New Roman" w:eastAsia="Times New Roman"/>
          <w:rFonts w:ascii="Times New Roman" w:hAnsi="Times New Roman"/>
          <w:b w:val="0"/>
          <w:i w:val="0"/>
          <w:color w:val="000000"/>
          <w:sz w:val="28"/>
        </w:rPr>
        <w:t>Looking forward, three open questions will define the next mandate. The 2040 intermediate target, around which the European Scientific Advisory Board on Climate Change has recommended a -90 to -95% range, will test whether the post-2024 Commission can sustain ambition under a competitiveness narrative reshaped by the Draghi report. The mid-term review of Fit for 55, scheduled around 2026-2027, will offer the first formal chance to calibrate ETS2 and CBAM against early data. Finally, the durability of the Green Deal coalition in the European Parliament, where centre-right and centre-left support was decisive between 2019 and 2024, will determine whether implementation receives the political backing that legislation alone cannot supply [12][14].</w:t>
      </w:r>
    </w:p>
    <w:p>
      <w:pPr>
        <w:spacing w:line="360" w:lineRule="auto" w:after="0"/>
        <w:ind w:firstLine="709"/>
        <w:jc w:val="both"/>
      </w:pPr>
      <w:r>
        <w:rPr>
          <w:rFonts w:ascii="Times New Roman" w:hAnsi="Times New Roman" w:cs="Times New Roman" w:eastAsia="Times New Roman"/>
          <w:rFonts w:ascii="Times New Roman" w:hAnsi="Times New Roman"/>
          <w:b w:val="0"/>
          <w:i w:val="0"/>
          <w:color w:val="000000"/>
          <w:sz w:val="28"/>
        </w:rPr>
        <w:t>The broader analytical implication is that EU climate policy has matured into a governance problem rather than a design problem. The instruments now exist; the binding obligation now exists; what remains is the slower, less visible work of administrative capacity, enforcement, and political maintenance. Whether the Union narrows the gap between the 2024 trajectory and the 2030 statutory target will determine not only its domestic credibility but also the leverage of its external climate diplomacy beyond Paris [12].</w:t>
      </w:r>
      <w:r>
        <w:br w:type="page"/>
      </w:r>
    </w:p>
    <w:p>
      <w:pPr>
        <w:pStyle w:val="Heading1"/>
        <w:spacing w:line="360" w:lineRule="auto" w:before="240" w:after="120"/>
        <w:ind w:firstLine="0"/>
        <w:jc w:val="center"/>
      </w:pPr>
      <w:r>
        <w:rPr>
          <w:rFonts w:ascii="Times New Roman" w:hAnsi="Times New Roman" w:cs="Times New Roman" w:eastAsia="Times New Roman"/>
          <w:rFonts w:ascii="Times New Roman" w:hAnsi="Times New Roman"/>
          <w:b/>
          <w:i w:val="0"/>
          <w:color w:val="000000"/>
          <w:sz w:val="32"/>
        </w:rPr>
        <w:t>REFERENCES</w:t>
      </w:r>
    </w:p>
    <w:p>
      <w:pPr>
        <w:spacing w:line="360" w:lineRule="auto"/>
        <w:ind w:firstLine="709"/>
      </w:pPr>
      <w:r>
        <w:rPr>
          <w:rFonts w:ascii="Times New Roman" w:hAnsi="Times New Roman" w:cs="Times New Roman" w:eastAsia="Times New Roman"/>
          <w:rFonts w:ascii="Times New Roman" w:hAnsi="Times New Roman"/>
          <w:b w:val="0"/>
          <w:i w:val="0"/>
          <w:color w:val="000000"/>
          <w:sz w:val="28"/>
        </w:rPr>
        <w:t xml:space="preserve">1. </w:t>
      </w:r>
      <w:r>
        <w:rPr>
          <w:rFonts w:ascii="Times New Roman" w:hAnsi="Times New Roman" w:cs="Times New Roman" w:eastAsia="Times New Roman"/>
          <w:rFonts w:ascii="Times New Roman" w:hAnsi="Times New Roman"/>
          <w:b w:val="0"/>
          <w:i w:val="0"/>
          <w:color w:val="000000"/>
          <w:sz w:val="28"/>
        </w:rPr>
        <w:t>European Commission. The European Green Deal. Communication COM(2019) 640 final. Brussels : European Commission, 2019, URL: https://eur-lex.europa.eu/legal-content/EN/TXT/?uri=CELEX:52019DC0640</w:t>
      </w:r>
    </w:p>
    <w:p>
      <w:pPr>
        <w:spacing w:line="360" w:lineRule="auto"/>
        <w:ind w:firstLine="709"/>
      </w:pPr>
      <w:r>
        <w:rPr>
          <w:rFonts w:ascii="Times New Roman" w:hAnsi="Times New Roman" w:cs="Times New Roman" w:eastAsia="Times New Roman"/>
          <w:rFonts w:ascii="Times New Roman" w:hAnsi="Times New Roman"/>
          <w:b w:val="0"/>
          <w:i w:val="0"/>
          <w:color w:val="000000"/>
          <w:sz w:val="28"/>
        </w:rPr>
        <w:t xml:space="preserve">2. </w:t>
      </w:r>
      <w:r>
        <w:rPr>
          <w:rFonts w:ascii="Times New Roman" w:hAnsi="Times New Roman" w:cs="Times New Roman" w:eastAsia="Times New Roman"/>
          <w:rFonts w:ascii="Times New Roman" w:hAnsi="Times New Roman"/>
          <w:b w:val="0"/>
          <w:i w:val="0"/>
          <w:color w:val="000000"/>
          <w:sz w:val="28"/>
        </w:rPr>
        <w:t>European Commission. 'Fit for 55': delivering the EU's 2030 Climate Target on the way to climate neutrality. Communication COM(2021) 550 final. Brussels : European Commission, 2021, URL: https://eur-lex.europa.eu/legal-content/EN/TXT/?uri=CELEX:52021DC0550</w:t>
      </w:r>
    </w:p>
    <w:p>
      <w:pPr>
        <w:spacing w:line="360" w:lineRule="auto"/>
        <w:ind w:firstLine="709"/>
      </w:pPr>
      <w:r>
        <w:rPr>
          <w:rFonts w:ascii="Times New Roman" w:hAnsi="Times New Roman" w:cs="Times New Roman" w:eastAsia="Times New Roman"/>
          <w:rFonts w:ascii="Times New Roman" w:hAnsi="Times New Roman"/>
          <w:b w:val="0"/>
          <w:i w:val="0"/>
          <w:color w:val="000000"/>
          <w:sz w:val="28"/>
        </w:rPr>
        <w:t xml:space="preserve">3. </w:t>
      </w:r>
      <w:r>
        <w:rPr>
          <w:rFonts w:ascii="Times New Roman" w:hAnsi="Times New Roman" w:cs="Times New Roman" w:eastAsia="Times New Roman"/>
          <w:rFonts w:ascii="Times New Roman" w:hAnsi="Times New Roman"/>
          <w:b w:val="0"/>
          <w:i w:val="0"/>
          <w:color w:val="000000"/>
          <w:sz w:val="28"/>
        </w:rPr>
        <w:t>European Parliament and Council of the European Union. Regulation (EU) 2021/1119 establishing the framework for achieving climate neutrality (European Climate Law). Brussels : Official Journal of the European Union L 243, 2021, 1-17 p., URL: https://eur-lex.europa.eu/legal-content/EN/TXT/?uri=CELEX:32021R1119</w:t>
      </w:r>
    </w:p>
    <w:p>
      <w:pPr>
        <w:spacing w:line="360" w:lineRule="auto"/>
        <w:ind w:firstLine="709"/>
      </w:pPr>
      <w:r>
        <w:rPr>
          <w:rFonts w:ascii="Times New Roman" w:hAnsi="Times New Roman" w:cs="Times New Roman" w:eastAsia="Times New Roman"/>
          <w:rFonts w:ascii="Times New Roman" w:hAnsi="Times New Roman"/>
          <w:b w:val="0"/>
          <w:i w:val="0"/>
          <w:color w:val="000000"/>
          <w:sz w:val="28"/>
        </w:rPr>
        <w:t xml:space="preserve">4. </w:t>
      </w:r>
      <w:r>
        <w:rPr>
          <w:rFonts w:ascii="Times New Roman" w:hAnsi="Times New Roman" w:cs="Times New Roman" w:eastAsia="Times New Roman"/>
          <w:rFonts w:ascii="Times New Roman" w:hAnsi="Times New Roman"/>
          <w:b w:val="0"/>
          <w:i w:val="0"/>
          <w:color w:val="000000"/>
          <w:sz w:val="28"/>
        </w:rPr>
        <w:t>European Parliament and Council of the European Union. Directive (EU) 2023/959 amending Directive 2003/87/EC (EU ETS). Brussels : Official Journal of the European Union L 130, 2023, 134-202 p., URL: https://eur-lex.europa.eu/legal-content/EN/TXT/?uri=CELEX:32023L0959</w:t>
      </w:r>
    </w:p>
    <w:p>
      <w:pPr>
        <w:spacing w:line="360" w:lineRule="auto"/>
        <w:ind w:firstLine="709"/>
      </w:pPr>
      <w:r>
        <w:rPr>
          <w:rFonts w:ascii="Times New Roman" w:hAnsi="Times New Roman" w:cs="Times New Roman" w:eastAsia="Times New Roman"/>
          <w:rFonts w:ascii="Times New Roman" w:hAnsi="Times New Roman"/>
          <w:b w:val="0"/>
          <w:i w:val="0"/>
          <w:color w:val="000000"/>
          <w:sz w:val="28"/>
        </w:rPr>
        <w:t xml:space="preserve">5. </w:t>
      </w:r>
      <w:r>
        <w:rPr>
          <w:rFonts w:ascii="Times New Roman" w:hAnsi="Times New Roman" w:cs="Times New Roman" w:eastAsia="Times New Roman"/>
          <w:rFonts w:ascii="Times New Roman" w:hAnsi="Times New Roman"/>
          <w:b w:val="0"/>
          <w:i w:val="0"/>
          <w:color w:val="000000"/>
          <w:sz w:val="28"/>
        </w:rPr>
        <w:t>European Parliament and Council of the European Union. Regulation (EU) 2023/956 establishing a Carbon Border Adjustment Mechanism. Brussels : Official Journal of the European Union L 130, 2023, 52-104 p., URL: https://eur-lex.europa.eu/legal-content/EN/TXT/?uri=CELEX:32023R0956</w:t>
      </w:r>
    </w:p>
    <w:p>
      <w:pPr>
        <w:spacing w:line="360" w:lineRule="auto"/>
        <w:ind w:firstLine="709"/>
      </w:pPr>
      <w:r>
        <w:rPr>
          <w:rFonts w:ascii="Times New Roman" w:hAnsi="Times New Roman" w:cs="Times New Roman" w:eastAsia="Times New Roman"/>
          <w:rFonts w:ascii="Times New Roman" w:hAnsi="Times New Roman"/>
          <w:b w:val="0"/>
          <w:i w:val="0"/>
          <w:color w:val="000000"/>
          <w:sz w:val="28"/>
        </w:rPr>
        <w:t xml:space="preserve">6. </w:t>
      </w:r>
      <w:r>
        <w:rPr>
          <w:rFonts w:ascii="Times New Roman" w:hAnsi="Times New Roman" w:cs="Times New Roman" w:eastAsia="Times New Roman"/>
          <w:rFonts w:ascii="Times New Roman" w:hAnsi="Times New Roman"/>
          <w:b w:val="0"/>
          <w:i w:val="0"/>
          <w:color w:val="000000"/>
          <w:sz w:val="28"/>
        </w:rPr>
        <w:t>European Parliament and Council of the European Union. Directive (EU) 2023/2413 (RED III) amending Directive (EU) 2018/2001. Brussels : Official Journal of the European Union, 2023, URL: https://eur-lex.europa.eu/legal-content/EN/TXT/?uri=CELEX:32023L2413</w:t>
      </w:r>
    </w:p>
    <w:p>
      <w:pPr>
        <w:spacing w:line="360" w:lineRule="auto"/>
        <w:ind w:firstLine="709"/>
      </w:pPr>
      <w:r>
        <w:rPr>
          <w:rFonts w:ascii="Times New Roman" w:hAnsi="Times New Roman" w:cs="Times New Roman" w:eastAsia="Times New Roman"/>
          <w:rFonts w:ascii="Times New Roman" w:hAnsi="Times New Roman"/>
          <w:b w:val="0"/>
          <w:i w:val="0"/>
          <w:color w:val="000000"/>
          <w:sz w:val="28"/>
        </w:rPr>
        <w:t xml:space="preserve">7. </w:t>
      </w:r>
      <w:r>
        <w:rPr>
          <w:rFonts w:ascii="Times New Roman" w:hAnsi="Times New Roman" w:cs="Times New Roman" w:eastAsia="Times New Roman"/>
          <w:rFonts w:ascii="Times New Roman" w:hAnsi="Times New Roman"/>
          <w:b w:val="0"/>
          <w:i w:val="0"/>
          <w:color w:val="000000"/>
          <w:sz w:val="28"/>
        </w:rPr>
        <w:t>European Parliament and Council of the European Union. Directive (EU) 2023/1791 on energy efficiency (recast). Brussels : Official Journal of the European Union L 231, 2023, 1-111 p., URL: https://eur-lex.europa.eu/legal-content/EN/TXT/?uri=CELEX:32023L1791</w:t>
      </w:r>
    </w:p>
    <w:p>
      <w:pPr>
        <w:spacing w:line="360" w:lineRule="auto"/>
        <w:ind w:firstLine="709"/>
      </w:pPr>
      <w:r>
        <w:rPr>
          <w:rFonts w:ascii="Times New Roman" w:hAnsi="Times New Roman" w:cs="Times New Roman" w:eastAsia="Times New Roman"/>
          <w:rFonts w:ascii="Times New Roman" w:hAnsi="Times New Roman"/>
          <w:b w:val="0"/>
          <w:i w:val="0"/>
          <w:color w:val="000000"/>
          <w:sz w:val="28"/>
        </w:rPr>
        <w:t xml:space="preserve">8. </w:t>
      </w:r>
      <w:r>
        <w:rPr>
          <w:rFonts w:ascii="Times New Roman" w:hAnsi="Times New Roman" w:cs="Times New Roman" w:eastAsia="Times New Roman"/>
          <w:rFonts w:ascii="Times New Roman" w:hAnsi="Times New Roman"/>
          <w:b w:val="0"/>
          <w:i w:val="0"/>
          <w:color w:val="000000"/>
          <w:sz w:val="28"/>
        </w:rPr>
        <w:t>European Commission. REPowerEU Plan. Communication COM(2022) 230 final. Brussels : European Commission, 2022, URL: https://eur-lex.europa.eu/legal-content/EN/TXT/?uri=CELEX:52022DC0230</w:t>
      </w:r>
    </w:p>
    <w:p>
      <w:pPr>
        <w:spacing w:line="360" w:lineRule="auto"/>
        <w:ind w:firstLine="709"/>
      </w:pPr>
      <w:r>
        <w:rPr>
          <w:rFonts w:ascii="Times New Roman" w:hAnsi="Times New Roman" w:cs="Times New Roman" w:eastAsia="Times New Roman"/>
          <w:rFonts w:ascii="Times New Roman" w:hAnsi="Times New Roman"/>
          <w:b w:val="0"/>
          <w:i w:val="0"/>
          <w:color w:val="000000"/>
          <w:sz w:val="28"/>
        </w:rPr>
        <w:t xml:space="preserve">9. </w:t>
      </w:r>
      <w:r>
        <w:rPr>
          <w:rFonts w:ascii="Times New Roman" w:hAnsi="Times New Roman" w:cs="Times New Roman" w:eastAsia="Times New Roman"/>
          <w:rFonts w:ascii="Times New Roman" w:hAnsi="Times New Roman"/>
          <w:b w:val="0"/>
          <w:i w:val="0"/>
          <w:color w:val="000000"/>
          <w:sz w:val="28"/>
        </w:rPr>
        <w:t>European Environment Agency. Trends and projections in Europe 2024. EEA Report No 09/2024. Copenhagen : European Environment Agency, 2024, URL: https://www.eea.europa.eu/publications/trends-and-projections-in-europe-2024</w:t>
      </w:r>
    </w:p>
    <w:p>
      <w:pPr>
        <w:spacing w:line="360" w:lineRule="auto"/>
        <w:ind w:firstLine="709"/>
      </w:pPr>
      <w:r>
        <w:rPr>
          <w:rFonts w:ascii="Times New Roman" w:hAnsi="Times New Roman" w:cs="Times New Roman" w:eastAsia="Times New Roman"/>
          <w:rFonts w:ascii="Times New Roman" w:hAnsi="Times New Roman"/>
          <w:b w:val="0"/>
          <w:i w:val="0"/>
          <w:color w:val="000000"/>
          <w:sz w:val="28"/>
        </w:rPr>
        <w:t xml:space="preserve">10. </w:t>
      </w:r>
      <w:r>
        <w:rPr>
          <w:rFonts w:ascii="Times New Roman" w:hAnsi="Times New Roman" w:cs="Times New Roman" w:eastAsia="Times New Roman"/>
          <w:rFonts w:ascii="Times New Roman" w:hAnsi="Times New Roman"/>
          <w:b w:val="0"/>
          <w:i w:val="0"/>
          <w:color w:val="000000"/>
          <w:sz w:val="28"/>
        </w:rPr>
        <w:t>Eurostat. Greenhouse gas emissions by source sector (env_air_gge). Luxembourg : Statistical Office of the European Union, 2024, URL: https://ec.europa.eu/eurostat/databrowser/view/env_air_gge/</w:t>
      </w:r>
    </w:p>
    <w:p>
      <w:pPr>
        <w:spacing w:line="360" w:lineRule="auto"/>
        <w:ind w:firstLine="709"/>
      </w:pPr>
      <w:r>
        <w:rPr>
          <w:rFonts w:ascii="Times New Roman" w:hAnsi="Times New Roman" w:cs="Times New Roman" w:eastAsia="Times New Roman"/>
          <w:rFonts w:ascii="Times New Roman" w:hAnsi="Times New Roman"/>
          <w:b w:val="0"/>
          <w:i w:val="0"/>
          <w:color w:val="000000"/>
          <w:sz w:val="28"/>
        </w:rPr>
        <w:t xml:space="preserve">11. </w:t>
      </w:r>
      <w:r>
        <w:rPr>
          <w:rFonts w:ascii="Times New Roman" w:hAnsi="Times New Roman" w:cs="Times New Roman" w:eastAsia="Times New Roman"/>
          <w:rFonts w:ascii="Times New Roman" w:hAnsi="Times New Roman"/>
          <w:b w:val="0"/>
          <w:i w:val="0"/>
          <w:color w:val="000000"/>
          <w:sz w:val="28"/>
        </w:rPr>
        <w:t>Jordan, A. and Moore, B.. Durable by Design? Policy Feedback in a Changing Climate. Cambridge : Cambridge University Press, 2020, URL: https://doi.org/10.1017/9781108779869</w:t>
      </w:r>
    </w:p>
    <w:p>
      <w:pPr>
        <w:spacing w:line="360" w:lineRule="auto"/>
        <w:ind w:firstLine="709"/>
      </w:pPr>
      <w:r>
        <w:rPr>
          <w:rFonts w:ascii="Times New Roman" w:hAnsi="Times New Roman" w:cs="Times New Roman" w:eastAsia="Times New Roman"/>
          <w:rFonts w:ascii="Times New Roman" w:hAnsi="Times New Roman"/>
          <w:b w:val="0"/>
          <w:i w:val="0"/>
          <w:color w:val="000000"/>
          <w:sz w:val="28"/>
        </w:rPr>
        <w:t xml:space="preserve">12. </w:t>
      </w:r>
      <w:r>
        <w:rPr>
          <w:rFonts w:ascii="Times New Roman" w:hAnsi="Times New Roman" w:cs="Times New Roman" w:eastAsia="Times New Roman"/>
          <w:rFonts w:ascii="Times New Roman" w:hAnsi="Times New Roman"/>
          <w:b w:val="0"/>
          <w:i w:val="0"/>
          <w:color w:val="000000"/>
          <w:sz w:val="28"/>
        </w:rPr>
        <w:t>Oberthür, S. and Dupont, C.. The European Union's international climate leadership: towards a grand climate strategy?. 2021, 1095-1114 p., URL: https://doi.org/10.1080/13501763.2021.1918218</w:t>
      </w:r>
    </w:p>
    <w:p>
      <w:pPr>
        <w:spacing w:line="360" w:lineRule="auto"/>
        <w:ind w:firstLine="709"/>
      </w:pPr>
      <w:r>
        <w:rPr>
          <w:rFonts w:ascii="Times New Roman" w:hAnsi="Times New Roman" w:cs="Times New Roman" w:eastAsia="Times New Roman"/>
          <w:rFonts w:ascii="Times New Roman" w:hAnsi="Times New Roman"/>
          <w:b w:val="0"/>
          <w:i w:val="0"/>
          <w:color w:val="000000"/>
          <w:sz w:val="28"/>
        </w:rPr>
        <w:t xml:space="preserve">13. </w:t>
      </w:r>
      <w:r>
        <w:rPr>
          <w:rFonts w:ascii="Times New Roman" w:hAnsi="Times New Roman" w:cs="Times New Roman" w:eastAsia="Times New Roman"/>
          <w:rFonts w:ascii="Times New Roman" w:hAnsi="Times New Roman"/>
          <w:b w:val="0"/>
          <w:i w:val="0"/>
          <w:color w:val="000000"/>
          <w:sz w:val="28"/>
        </w:rPr>
        <w:t>Torney, D.. Follow the leader? Conceptualising the relationship between leaders and followers in polycentric climate governance. 2019, 167-186 p., URL: https://doi.org/10.1080/09644016.2019.1522029</w:t>
      </w:r>
    </w:p>
    <w:p>
      <w:pPr>
        <w:spacing w:line="360" w:lineRule="auto"/>
        <w:ind w:firstLine="709"/>
      </w:pPr>
      <w:r>
        <w:rPr>
          <w:rFonts w:ascii="Times New Roman" w:hAnsi="Times New Roman" w:cs="Times New Roman" w:eastAsia="Times New Roman"/>
          <w:rFonts w:ascii="Times New Roman" w:hAnsi="Times New Roman"/>
          <w:b w:val="0"/>
          <w:i w:val="0"/>
          <w:color w:val="000000"/>
          <w:sz w:val="28"/>
        </w:rPr>
        <w:t xml:space="preserve">14. </w:t>
      </w:r>
      <w:r>
        <w:rPr>
          <w:rFonts w:ascii="Times New Roman" w:hAnsi="Times New Roman" w:cs="Times New Roman" w:eastAsia="Times New Roman"/>
          <w:rFonts w:ascii="Times New Roman" w:hAnsi="Times New Roman"/>
          <w:b w:val="0"/>
          <w:i w:val="0"/>
          <w:color w:val="000000"/>
          <w:sz w:val="28"/>
        </w:rPr>
        <w:t>Skjærseth, J. B.. Towards a European Green Deal: the evolution of EU climate and energy policy mixes. 2021, 25-41 p., URL: https://doi.org/10.1007/s10784-021-09529-4</w:t>
      </w:r>
    </w:p>
    <w:p>
      <w:pPr>
        <w:spacing w:line="360" w:lineRule="auto"/>
        <w:ind w:firstLine="709"/>
      </w:pPr>
      <w:r>
        <w:rPr>
          <w:rFonts w:ascii="Times New Roman" w:hAnsi="Times New Roman" w:cs="Times New Roman" w:eastAsia="Times New Roman"/>
          <w:rFonts w:ascii="Times New Roman" w:hAnsi="Times New Roman"/>
          <w:b w:val="0"/>
          <w:i w:val="0"/>
          <w:color w:val="000000"/>
          <w:sz w:val="28"/>
        </w:rPr>
        <w:t xml:space="preserve">15. </w:t>
      </w:r>
      <w:r>
        <w:rPr>
          <w:rFonts w:ascii="Times New Roman" w:hAnsi="Times New Roman" w:cs="Times New Roman" w:eastAsia="Times New Roman"/>
          <w:rFonts w:ascii="Times New Roman" w:hAnsi="Times New Roman"/>
          <w:b w:val="0"/>
          <w:i w:val="0"/>
          <w:color w:val="000000"/>
          <w:sz w:val="28"/>
        </w:rPr>
        <w:t>Grubb, M., Jordan, N. D., Hertwich, E., Neuhoff, K., Das, K., Bandyopadhyay, K. R., van Asselt, H., Sato, M., Wang, R., Pizer, W. A. and Oh, H.. Carbon Leakage, Consumption, and Trade. 2022, 753-795 p., URL: https://doi.org/10.1146/annurev-environ-120820-053625</w:t>
      </w:r>
    </w:p>
    <w:p>
      <w:pPr>
        <w:spacing w:line="360" w:lineRule="auto"/>
        <w:ind w:firstLine="709"/>
      </w:pPr>
      <w:r>
        <w:rPr>
          <w:rFonts w:ascii="Times New Roman" w:hAnsi="Times New Roman" w:cs="Times New Roman" w:eastAsia="Times New Roman"/>
          <w:rFonts w:ascii="Times New Roman" w:hAnsi="Times New Roman"/>
          <w:b w:val="0"/>
          <w:i w:val="0"/>
          <w:color w:val="000000"/>
          <w:sz w:val="28"/>
        </w:rPr>
        <w:t xml:space="preserve">16. </w:t>
      </w:r>
      <w:r>
        <w:rPr>
          <w:rFonts w:ascii="Times New Roman" w:hAnsi="Times New Roman" w:cs="Times New Roman" w:eastAsia="Times New Roman"/>
          <w:rFonts w:ascii="Times New Roman" w:hAnsi="Times New Roman"/>
          <w:b w:val="0"/>
          <w:i w:val="0"/>
          <w:color w:val="000000"/>
          <w:sz w:val="28"/>
        </w:rPr>
        <w:t>Tagliapietra, S. and Wolff, G. B.. Form a climate club : United States, European Union and China. 2021, 526-528 p., URL: https://doi.org/10.1038/d41586-021-00736-2</w:t>
      </w:r>
    </w:p>
    <w:p>
      <w:pPr>
        <w:spacing w:line="360" w:lineRule="auto"/>
        <w:ind w:firstLine="709"/>
      </w:pPr>
      <w:r>
        <w:rPr>
          <w:rFonts w:ascii="Times New Roman" w:hAnsi="Times New Roman" w:cs="Times New Roman" w:eastAsia="Times New Roman"/>
          <w:rFonts w:ascii="Times New Roman" w:hAnsi="Times New Roman"/>
          <w:b w:val="0"/>
          <w:i w:val="0"/>
          <w:color w:val="000000"/>
          <w:sz w:val="28"/>
        </w:rPr>
        <w:t xml:space="preserve">17. </w:t>
      </w:r>
      <w:r>
        <w:rPr>
          <w:rFonts w:ascii="Times New Roman" w:hAnsi="Times New Roman" w:cs="Times New Roman" w:eastAsia="Times New Roman"/>
          <w:rFonts w:ascii="Times New Roman" w:hAnsi="Times New Roman"/>
          <w:b w:val="0"/>
          <w:i w:val="0"/>
          <w:color w:val="000000"/>
          <w:sz w:val="28"/>
        </w:rPr>
        <w:t>Marcu, A., Mehling, M. and Cosbey, A.. Border Carbon Adjustments in the EU : Issues and Options. CEPS Policy Brief. Brussels : Centre for European Policy Studies, 2023, URL: https://www.ceps.eu/ceps-publications/border-carbon-adjustments-in-the-eu/</w:t>
      </w:r>
    </w:p>
    <w:p>
      <w:pPr>
        <w:spacing w:line="360" w:lineRule="auto"/>
        <w:ind w:firstLine="709"/>
      </w:pPr>
      <w:r>
        <w:rPr>
          <w:rFonts w:ascii="Times New Roman" w:hAnsi="Times New Roman" w:cs="Times New Roman" w:eastAsia="Times New Roman"/>
          <w:rFonts w:ascii="Times New Roman" w:hAnsi="Times New Roman"/>
          <w:b w:val="0"/>
          <w:i w:val="0"/>
          <w:color w:val="000000"/>
          <w:sz w:val="28"/>
        </w:rPr>
        <w:t xml:space="preserve">18. </w:t>
      </w:r>
      <w:r>
        <w:rPr>
          <w:rFonts w:ascii="Times New Roman" w:hAnsi="Times New Roman" w:cs="Times New Roman" w:eastAsia="Times New Roman"/>
          <w:rFonts w:ascii="Times New Roman" w:hAnsi="Times New Roman"/>
          <w:b w:val="0"/>
          <w:i w:val="0"/>
          <w:color w:val="000000"/>
          <w:sz w:val="28"/>
        </w:rPr>
        <w:t>E3G. State of the EU Green Deal 2023. London/Brussels : E3G, 2023, URL: https://www.e3g.org/publications/state-of-the-eu-green-deal-2023/</w:t>
      </w:r>
    </w:p>
    <w:sectPr w:rsidR="00FC693F" w:rsidRPr="0006063C" w:rsidSect="00034616">
      <w:footerReference w:type="default" r:id="rId9"/>
      <w:pgSz w:w="11906" w:h="16838"/>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right"/>
    </w:pPr>
    <w:r>
      <w:rPr>
        <w:rFonts w:ascii="Times New Roman" w:hAnsi="Times New Roman" w:cs="Times New Roman" w:eastAsia="Times New Roman"/>
        <w:rFonts w:ascii="Times New Roman" w:hAnsi="Times New Roman"/>
        <w:b w:val="0"/>
        <w:i w:val="0"/>
        <w:color w:val="000000"/>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updateFields w:val="tru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 | built_by:aidemica_manifest_builder</dc:description>
  <cp:lastModifiedBy/>
  <cp:revision>1</cp:revision>
  <dcterms:created xsi:type="dcterms:W3CDTF">2013-12-23T23:15:00Z</dcterms:created>
  <dcterms:modified xsi:type="dcterms:W3CDTF">2013-12-23T23:15:00Z</dcterms:modified>
  <cp:category/>
</cp:coreProperties>
</file>