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sz w:val="28"/>
        </w:rPr>
        <w:t>____________________________________________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4"/>
        </w:rPr>
        <w:t>Факультет менеджмента и маркетинга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sz w:val="24"/>
        </w:rPr>
        <w:t>Кафедра маркетинга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sz w:val="32"/>
        </w:rPr>
        <w:t>РЕФЕРАТ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8"/>
        </w:rPr>
        <w:t>по дисциплине «Основы маркетинга / Маркетинговые коммуникации»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8"/>
        </w:rPr>
        <w:t>на тему: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sz w:val="28"/>
        </w:rPr>
        <w:t>«Маркетинг и brand awareness в эпоху социальных сетей»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Выполнил(а): студент(ка) 3-го курса,</w:t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группы ___________, специальности 38.03.02 «Менеджмент» (профиль «Маркетинг»)</w:t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____________________________________________</w:t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Руководитель: ____________________________________________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8"/>
        </w:rPr>
        <w:t>Москва — 2026</w:t>
      </w:r>
    </w:p>
    <w:p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СОДЕРЖАНИЕ</w:t>
      </w:r>
    </w:p>
    <w:p>
      <w:r>
        <w:fldChar w:fldCharType="begin" w:dirty="true"/>
        <w:instrText xml:space="preserve">TOC \o "1-3" \h \z \u </w:instrText>
        <w:fldChar w:fldCharType="separate"/>
        <w:fldChar w:fldCharType="end"/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РЕФЕРАТ</w:t>
      </w:r>
    </w:p>
    <w:p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Реферат: 12 с., 1 табл., 15 источников.</w:t>
      </w:r>
    </w:p>
    <w:p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Объект исследования - brand awareness как элемент маркетинговой стратегии компании. Предмет - инструменты, модели и метрики формирования осведомлённости о бренде в социальных сетях.</w:t>
      </w:r>
    </w:p>
    <w:p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Цель работы - исследовать специфику формирования и измерения brand awareness в условиях доминирования социальных сетей и обобщить эффективные практики российских и международных компаний.</w:t>
      </w:r>
    </w:p>
    <w:p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Раскрыты понятие brand awareness и его уровни: brand recognition, brand recall, top-of-mind awareness; рассмотрены модели Brand Equity Аакера, CBBE Келлера, а также воронки AIDA, AISAS и 5A в трактовке Ф. Котлера. Прослежена эволюция SMM от Web 2.0 к эпохе UGC и инфлюенсер-маркетинга, с акцентом на российскую специфику после 2022 года. Систематизированы метрики SMM (reach, mentions, share of voice, engagement rate, K-factor) и сопоставлены с классическими опросными показателями. Разобраны три кейса - «ВкусВилл», «Т-Банк», Duolingo - и сформулированы три практические рекомендации для бренд-менеджеров.</w:t>
      </w:r>
    </w:p>
    <w:p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Полученные результаты могут использоваться в учебном курсе «Маркетинговые коммуникации», а также в практической работе бренд-менеджеров российских компаний при разработке SMM-стратегий и систем измерения awareness.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Ключевые слова: brand awareness, социальные сети, маркетинговая воронка, AISAS, UGC, инфлюенсер-маркетинг, метрики SMM, share of voice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ВВЕДЕНИЕ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Социальные сети - это среда, в которой ежедневно проводят время более 5,24 млрд человек по всему миру, в том числе около 105 млн пользователей в России [11; 10]. Доля времени в соцсетях уже приближается к 38 % всего digital-времени, и маркетинговые бюджеты последовательно перетекают из классических медиа в SMM и инфлюенсер-маркетинг. Объём российского рынка инфлюенсер-маркетинга в 2024 году дошёл до примерно 30 млрд рублей [14], а доля пользовательского контента в общем объёме упоминаний брендов превысила 62 % [12]. За этими цифрами скрывается не просто рост отдельного канала, а полная перестройка коммуникаций «бренд - потребитель».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Актуальность темы определяется тем, что классические модели формирования brand awareness, заложенные Ф. Котлером, Д. Аакером и К. Келлером в эпоху массовых медиа, требуют переосмысления в условиях алгоритмических лент, нативных интеграций и пользовательского контента. Воронка AIDA уступает место моделям AISAS и 5A, где этапы Share и Advocate становятся не менее весомыми, чем первичный Attention [1; 2]. При этом измерение осведомлённости в социальных сетях нельзя сводить к копированию опросной методологии: оно требует интеграции охватных, поведенческих и виральных метрик в единую систему [7]. Перечисленные обстоятельства делают тему «маркетинг и brand awareness в эпоху социальных сетей» значимой и для академической дисциплины маркетинга, и для управленцев, отвечающих за продвижение брендов.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Цель работы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- исследовать специфику формирования и измерения brand awareness в условиях доминирования социальных сетей и обобщить эффективные практики российских и международных компаний.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Из цели вытекают следующие </w:t>
      </w: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задачи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pStyle w:val="ListNumber"/>
        <w:spacing w:line="360" w:lineRule="auto"/>
        <w:ind w:firstLine="0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раскрыть понятие brand awareness, его уровни и место в современной маркетинговой воронке;</w:t>
      </w:r>
    </w:p>
    <w:p>
      <w:pPr>
        <w:pStyle w:val="ListNumber"/>
        <w:spacing w:line="360" w:lineRule="auto"/>
        <w:ind w:firstLine="0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проследить эволюцию маркетинга в социальных сетях от Web 2.0 до эпохи UGC и инфлюенсер-маркетинга;</w:t>
      </w:r>
    </w:p>
    <w:p>
      <w:pPr>
        <w:pStyle w:val="ListNumber"/>
        <w:spacing w:line="360" w:lineRule="auto"/>
        <w:ind w:firstLine="0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систематизировать метрики осведомлённости, применяемые в SMM, и сопоставить их с классическими опросными показателями;</w:t>
      </w:r>
    </w:p>
    <w:p>
      <w:pPr>
        <w:pStyle w:val="ListNumber"/>
        <w:spacing w:line="360" w:lineRule="auto"/>
        <w:ind w:firstLine="0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проанализировать кейсы российских («ВкусВилл», «Т-Банк») и международного (Duolingo) брендов с точки зрения архитектуры awareness-стратегий и сформулировать практические рекомендации.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Объект исследования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- brand awareness как элемент маркетинговой стратегии компании.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Предмет исследования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- инструменты, модели и метрики формирования осведомлённости о бренде в социальных сетях.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Методы исследования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включают анализ отечественной и зарубежной литературы по бренд-менеджменту и маркетинговым коммуникациям, сравнительный анализ метрик SMM, кейс-стади трёх компаний и обобщение данных аналитических отчётов Mediascope, We Are Social и Brand Analytics [10; 11; 12].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Теоретическая база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работы опирается на труды Ф. Котлера, Д. Аакера, К. Келлера, С. Година, а также российских исследователей О. Лебедева и Е. Голубкова. Эмпирическую базу составили отраслевые публикации Sostav.ru, vc.ru и AdIndex, открытые данные Mediascope и Brand Analytics за 2024-2025 годы.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Структура работы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охватывает введение, четыре раздела основной части, заключение и список использованных источников. Первый раздел разбирает понятие brand awareness и его роль в маркетинговой стратегии. Второй описывает эволюцию маркетинга в социальных сетях от Web 2.0 к эпохе инфлюенсеров и UGC. Третий раздел систематизирует метрики осведомлённости в SMM. В четвёртом разобраны кейсы трёх компаний и сформулированы практические рекомендации. Заключение собирает ответы на поставленные задачи и формулирует выводы исследования.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1 ПОНЯТИЕ BRAND AWARENESS И ЕГО РОЛЬ В МАРКЕТИНГОВОЙ СТРАТЕГИИ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Brand awareness, или осведомлённость о бренде, входит в число базовых нематериальных активов, формирующих рыночную позицию компании. Под этим термином понимают способность потенциального потребителя узнавать или вспоминать бренд как принадлежащий к определённой товарной категории [3]. Ф. Котлер описывает осведомлённость как первую ступень потребительского пути: пока бренд не известен, ни интерес, ни желание, ни покупка попросту невозможны [1]. В классической воронке AIDA (Attention - Interest - Desire - Action) этап Attention прямо соответствует формированию awareness, и от его глубины зависит размер последующих стадий воронки.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Д. Аакер при разработке модели Brand Equity выделил осведомлённость как один из четырёх драйверов капитала бренда наряду с воспринимаемым качеством, ассоциациями и лояльностью [8]. По Аакеру, awareness имеет иерархическую структуру и описывается «пирамидой осведомлённости»: внизу - полное незнание (unaware of brand), затем узнавание (brand recognition), припоминание (brand recall) и, наконец, доминирующая известность - top-of-mind awareness, TOMA [3]. Каждый следующий уровень требует более глубокой обработки информации: для recognition достаточно увидеть подсказку, для recall нужно назвать бренд по категории самостоятельно, а TOMA означает первое место в спонтанном ответе.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К. Келлер в модели CBBE (Customer-Based Brand Equity) включает осведомлённость в блок salience, который служит фундаментом всей пирамиды бренда [4]. Salience имеет два измерения - широту (по каким поводам бренд вспоминается) и глубину (насколько легко он всплывает в памяти). Высокий salience значит не просто «бренд известен», а «бренд встроен в потребительские сценарии». Эмпирические данные показывают, что прирост salience на одно деление шкалы коррелирует с ростом рыночной доли на 3-7 % в развитых категориях [4].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Операционально различают два вида awareness - спонтанную (spontaneous, unaided) и подсказанную (aided). Спонтанная замеряется вопросом «какие бренды категории X вы знаете», подсказанная - предъявлением списка с просьбой отметить знакомые. Соотношение двух показателей даёт представление о том, насколько прочно бренд закрепился в памяти потребителя [7]. Дополнительный индикатор TOMA позволяет оценить долю респондентов, для которых бренд первый в категории.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В цифровую эпоху воронка AIDA дополняется моделью AISAS (Attention - Interest - Search - Action - Share), а в работах Ф. Котлера, Х. Картаджайя и А. Сетивана разворачивается модель «5A»: Aware - Appeal - Ask - Act - Advocate [2]. Главное отличие новых моделей - этапы Search/Ask и Share/Advocate, описывающие активное поведение потребителя в социальных сетях. Если в традиционной AIDA awareness - пассивный результат рекламы, то в AISAS и 5A она формируется во многом через рекомендации друзей, отзывы и пользовательский контент. Это меняет саму природу маркетинговой стратегии: для роста осведомлённости одного медиабюджета мало, нужны управление сообществом и стимулирование шеринга.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Российские авторы добавляют, что в условиях ограниченного бюджета малых и средних компаний осведомлённость становится ключевым фактором конкурентоспособности, опережая по значимости даже ценовую политику [6]. О. Лебедев и Т. Филиппова отмечают: пока товар не пересёк порог узнавания, для рынка он остаётся невидим, а маркетинговые расходы превращаются в потерю. Тот же тезис подтверждают исследования Е. Голубкова: измеренная осведомлённость работает как ранний индикатор эффективности рекламной кампании и позволяет корректировать медиаплан раньше, чем изменятся продажи [7].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Итог раздела: brand awareness не сводится к простому «знаю - не знаю», а образует многоуровневую конструкцию, увязанную с памятью, контекстом и поведением. Управлять этим активом - значит чётко понимать, какой уровень awareness нужен для текущей задачи, и иметь набор метрик, чтобы этот уровень отслеживать. Именно поэтому осведомлённость занимает центральное место в любой стратегии бренда - и тем более в стратегии, реализуемой через социальные сети, где новые модели потребительского пути требуют новых подходов к её формированию.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2 ЭВОЛЮЦИЯ МАРКЕТИНГА В СОЦИАЛЬНЫХ СЕТЯХ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Маркетинг в социальных сетях прошёл несколько чётких этапов, и каждый из них перекраивал набор инструментов для построения brand awareness. Отправной точкой стали веб-сервисы второго поколения (Web 2.0), появившиеся в середине 2000-х годов: пассивный получатель контента превратился в его соавтора. Социальные платформы - LiveJournal, ВКонтакте, Одноклассники, позже Instagram (платформа Meta, запрещённая в РФ) и YouTube - открыли бренду возможность вести двустороннюю коммуникацию, минуя посредничество СМИ [9]. Эта смена парадигмы создала почву для пересмотра воронки коммуникаций и появления уже упомянутых моделей AISAS и 5A [2].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Первый этап маркетинга в социальных сетях принято называть эпохой «брендированных присутствий». С 2008 по 2014 год компании создавали страницы и группы, размещая фирменный контент и оплачивая трафик. Метрики того периода унаследованы из медийной рекламы - в основном охват и число подписчиков [9]. Быстрый рост аудитории, однако, привёл к тому, что органический охват начал падать: алгоритмические ленты стали приоритетно показывать публикации с реакциями, а не просто фирменные сообщения. Этот сдвиг подтолкнул бренды искать более вовлекающие форматы и подготовил почву для второго этапа - эпохи influencer-маркетинга.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Инфлюенсер-маркетинг строится на принципе передачи доверия от лидера мнений к бренду. По данным vc.ru, объём этого рынка в России в 2024 году достиг около 30 млрд рублей, а доля Telegram-каналов в бюджетах выросла до 35 % после ухода зарубежных Meta-платформ [14]. Принято выделять четыре типа инфлюенсеров: nano (до 10 тыс. подписчиков), micro (10-100 тыс.), macro (100 тыс. - 1 млн) и mega (более 1 млн) [9]. У каждой категории - свой профиль эффективности. Nano- и micro-инфлюенсеры дают engagement rate (ER) в 1,5-2 раза выше, чем mega, благодаря высокому доверию аудитории и узкой тематической нише [14]. Mega-инфлюенсеры, напротив, обеспечивают массовый охват и быстрый прирост подсказанной осведомлённости, что особенно ценно при запуске новых продуктов. Грамотная кампания обычно комбинирует несколько типов: macro даёт пиковый охват, micro закрепляет awareness и формирует доверие. Распределение средних показателей ER по типам инфлюенсеров на российском рынке 2024-2025 годов показано на рисунке 2.1: nano-сегмент даёт около 5,75 % ER, а mega-сегмент - лишь около 1,15 %, что подтверждает обратную зависимость между размером аудитории и плотностью отклика.</w:t>
      </w:r>
    </w:p>
    <w:p>
      <w:pPr>
        <w:spacing w:after="120"/>
        <w:ind w:firstLine="0"/>
        <w:jc w:val="center"/>
      </w:pPr>
      <w:r>
        <w:drawing>
          <wp:inline xmlns:a="http://schemas.openxmlformats.org/drawingml/2006/main" xmlns:pic="http://schemas.openxmlformats.org/drawingml/2006/picture">
            <wp:extent cx="5040000" cy="32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_01_er_by_influencer_segmen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2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4"/>
        </w:rPr>
        <w:t>Распределение среднего engagement rate по типам инфлюенсеров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Третий, и пока что доминирующий, этап - эпоха пользовательского контента (UGC) и брендов-адвокатов. Концептуальная заявка на этот подход прозвучала ещё у С. Година задолго до массового SMM. В «Фиолетовой корове» автор утверждает: в перенасыщенной среде традиционная реклама перестаёт работать, и единственный способ построить awareness - стать «выдающимся» продуктом, о котором потребители рассказывают друг другу сами [5]. Годин вводит понятия sneezers - носителей идеи, «чихающих» брендом на окружение - и otaku - фанатично вовлечённых потребителей, ядра распространения [5]. Современная практика подтверждает его прогноз: по данным Brand Analytics, доля UGC в общем объёме русскоязычных упоминаний брендов в 2025 году дошла до 62 % [12]. AdIndex оценивает вклад UGC в органический охват российских брендов в 28 % и фиксирует средний K-factor у брендов-адвокатов выше 1,3 [15].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Виральность как механизм распространения контента описывается коэффициентом K-factor: его считают как отношение числа новых пользователей, привлечённых одним существующим, к числу прежних. Значение K-factor ≥ 1 означает, что аудитория растёт самоподдерживающимся образом без дополнительных рекламных вливаний. Кейс «ВкусВилл», по оценке AdIndex, дал 12 млн просмотров органического UGC за квартал [15]. Пример наглядно показывает, как механика sneezers перерождается в современную метрику виральности.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Российская специфика этапа связана с трансформацией медиа-ландшафта после 2022 года. Уход Meta-платформ и блокировки крупных международных сервисов привели к перераспределению аудитории и бюджетов в пользу VK, Telegram и Яндекс Дзен. По данным Mediascope, месячная аудитория VK стабилизировалась на уровне около 80 млн пользователей, а Telegram вырос в 1,8 раза за 2023-2025 годы [10; 12]. Бренды вынуждены адаптировать креативные форматы под локальные платформы, иначе охват быстро проседает [6].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Итог раздела: эволюция SMM привела к экосистеме, в которой awareness формируется уже не одним каналом, а синергией брендированного контента, инфлюенсеров и UGC. Каждый слой решает свою задачу: брендированный контент задаёт ядро смыслов, инфлюенсеры обеспечивают доверие и охват, а UGC превращает аудиторию в драйвер органического роста. Такая многоканальная архитектура и объясняет, почему классические рекламные модели уступают место моделям 5A и почему измерение awareness в соцсетях требует пересмотра традиционных метрик - этой проблеме посвящён следующий раздел.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3 МЕТРИКИ ОСВЕДОМЛЁННОСТИ О БРЕНДЕ В СОЦИАЛЬНЫХ СЕТЯХ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Измерение brand awareness в социальных сетях нельзя сводить к простому копированию подходов опросной социологии. Хотя опрос с вопросами «какие бренды категории X вы знаете» (для spontaneous awareness) и подсказанный список (для aided awareness) - это золотой стандарт, в SMM они работают вместе с цифровыми метриками поведения [7]. Получается двухслойная система: «верхний слой» опросной осведомлённости и «нижний слой» поведенческих индикаторов, отражающих интенсивность присутствия бренда в инфополе.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Первую группу поведенческих метрик образуют охватные показатели. Reach фиксирует число уникальных пользователей, увидевших публикацию хотя бы один раз, а impressions - общее число показов (включая повторные). По данным We Are Social, в 2025 году ежедневная аудитория социальных сетей превысила 5,24 млрд человек, а среднее время в соцсетях составило 2 часа 21 минуту [11]. При таких масштабах reach сопоставим с GRP телевизионной рекламы, но с принципиальной разницей: алгоритм отбора сужает охват до тех, кто реагировал на похожие сообщения раньше. К охватным показателям относятся также brand mentions (число упоминаний бренда в открытых источниках) и share of voice (SOV) - доля бренда в общем объёме отраслевых упоминаний. Sostav.ru фиксирует: SOV в SMM-аналитике постепенно вытесняет классический GRP как индикатор рекламного давления [13].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Вторая группа - показатели вовлечённости (engagement). Их обычно считают тремя способами. Engagement rate by reach (ER reach) - отношение числа реакций к охвату публикации; engagement rate by post (ER post) использует в знаменателе число подписчиков; engagement rate by day (ER day) усредняет вовлечённость за период [9]. Brand Analytics показывает, что средний ER в VK по разным отраслям в 2025 году держится в диапазоне 0,7-1,2 % [12]. Связь вовлечённости с awareness опосредованная: каждая реакция повышает шанс повторного показа поста алгоритмом и расширяет органический охват, благодаря чему опросная осведомлённость растёт без дополнительного бюджета.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Третья группа - метрики виральности. Помимо K-factor в практике пользуются показателями share rate (доля шеров в общем числе реакций), saved rate (сохранения) и virality score, который считают как отношение шеров к охвату. Виральность интересна тем, что превращает разовый контакт в продолжающуюся цепочку, эффективно увеличивая «бесплатный» reach. По наблюдениям Sostav.ru, в кампаниях short-form video в VK Clips и Reels регистрируется прирост brand awareness до 12 процентных пунктов именно за счёт виральных эффектов [13].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Отдельный методологический сюжет - как связать поведенческие метрики с опросной осведомлённостью. Классический подход, описанный Е. Голубковым, опирается на контрольно-экспериментальный дизайн: до и после кампании проводится репрезентативный CATI- или CAWI-опрос, по результатам которого считают прирост spontaneous и aided awareness [7]. Современные платформы предлагают и альтернативу - brand lift research, где аудитория автоматически делится на тестовую (видевшую рекламу) и контрольную (не видевшую) группы, после чего обе группы опрашиваются внутри сервиса. Такой подход даёт статистически значимый прирост awareness уже через 7-14 дней после старта кампании.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Сводное сопоставление двух систем метрик показано в таблице 3.1.</w:t>
      </w:r>
    </w:p>
    <w:p>
      <w:pPr>
        <w:spacing w:after="8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6"/>
        </w:rPr>
        <w:t>Таблица 3.1 - Сравнение классических и SMM-метрик осведомлённости о бренде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Параметр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Классические метрики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Метрики SMM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Способ получения данных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Опрос (CATI/CAWI/face-to-face)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Аналитика платформы + социальное прослушивание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Базовый показатель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Spontaneous awareness, %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Reach, impressions, mentions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Глубина показателя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Aided awareness, TOMA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Engagement rate, sentiment, SOV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Стоимость измерения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Высокая (полевая работа)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Низкая (автоматизированная)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Скорость получения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2–4 недели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Реальное время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Репрезентативность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Высокая при правильной выборке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Ограничена аудиторией платформы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 продажами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Через voucher-tracking и UTM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Применимость к awareness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Прямая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Опосредованная (через прокси)</w:t>
            </w:r>
          </w:p>
        </w:tc>
      </w:tr>
    </w:tbl>
    <w:p>
      <w:pPr>
        <w:spacing w:after="240"/>
      </w:pP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Из таблицы видно: ни одна из систем самодостаточной не является. Классические опросы дают точную картину memory-based awareness, но дорого и медленно; SMM-метрики - быстро и дёшево, однако измеряют скорее «давление» бренда в инфополе, чем глубину запоминания. На практике маркетологи комбинируют оба слоя: ежедневный мониторинг охвата и SOV дополняют ежеквартальной волной brand health study, в которой замеряют TOMA, aided и spontaneous awareness [7].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Для российского рынка важен ещё один уточняющий показатель - sentiment, или эмоциональная окраска упоминаний. Brand Analytics классифицирует упоминания как позитивные, нейтральные и негативные, что позволяет интерпретировать рост mentions не только количественно, но и качественно [12]. Если при росте reach непропорционально растут негативные упоминания - это сигнал репутационного кризиса; рост позитивных, наоборот, говорит об укреплении капитала бренда. У классической модели Аакера такого измерения нет, и это подтверждает: измерение awareness в социальных сетях требует расширения теоретической базы, а не простого переноса опросных инструментов.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Итог раздела: грамотная система метрик SMM строится из трёх уровней - охват, вовлечённость, виральность - и интегрируется с опросной осведомлённостью через brand lift и brand health study. Такая архитектура даёт объёмную картину awareness и позволяет оперативно корректировать кампанию. В следующем разделе посмотрим, как эти принципы реализуются на практике в кейсах российских и международных брендов.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4 КЕЙС-СТАДИ РОССИЙСКИХ И МЕЖДУНАРОДНЫХ КОМПАНИЙ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Практическая ценность теоретических моделей brand awareness проверяется на реальных компаниях. Возьмём три кейса из разных сегментов рынка и с разными форматами взаимодействия с аудиторией: ритейл здорового питания «ВкусВилл», финтех-бренд «Т-Банк» (бывший «Тинькофф») и международный edtech-проект Duolingo. Каждый из них собрал свою комбинацию инструментов SMM и обеспечил устойчивый рост awareness - тезисы предыдущих разделов на этом эмпирическом материале хорошо иллюстрируются.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Первый кейс - «ВкусВилл». Сеть магазинов натуральных продуктов с 2020 года последовательно развивает Telegram-канал и VK-сообщество, опираясь не на оплаченную рекламу, а на UGC и контент сотрудников. По данным AdIndex, за один квартал 2024 года кампания «Любимый продукт ВкусВилла» собрала около 12 млн просмотров органического UGC и подняла spontaneous awareness в категории здорового питания на 7 процентных пунктов [15]. Ключевая механика - стимулирование клиентов делиться короткими видео с любимыми продуктами под единым хэштегом; бренд репостит наиболее интересные ролики в основной канал. Такая модель ложится прямо на концепцию sneezers С. Година: лояльные покупатели сами становятся распространителями сообщения, а K-factor кампании, по оценке AdIndex, превысил 1,3 [15; 5]. Дополнительный эффект дал переход на «прямую» подачу - ответы службы поддержки в комментариях, что усилило сентимент и подняло долю позитивных упоминаний в Brand Analytics до 71 % [12].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Второй кейс - «Т-Банк». Финансовая организация выстроила многоуровневую систему awareness, в которой одновременно работают собственный бренд-канал, образовательная платформа «Т-Ж» и сеть micro-инфлюенсеров. По данным vc.ru, в 2024 году «Т-Банк» направил около 35 % бюджета на размещение в Telegram-каналах с аудиторией от 10 до 100 тыс. подписчиков - это micro-сегмент в классификации Smith и Zook [14; 9]. Такая раскладка обеспечила равномерный охват тематических сообществ - от ИТ и финансов до маркетинга и психологии - и подняла aided awareness среди интернет-аудитории 18-34 лет до 92 %, по замерам Mediascope [10]. Параллельно бренд активно использует образовательный контент: «Т-Ж» публикует материалы по личным финансам, которые читатели охотно сохраняют и пересылают. Поведение «сохранил - поделился» формирует ровно тот глубокий salience, о котором пишет К. Келлер: бренд встраивается в повседневные сценарии принятия решений, а не появляется лишь в моменты прямой рекламы [4].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Третий кейс - Duolingo. Международный сервис изучения языков превратил свой Telegram- и TikTok-аккаунт в эталон виральности short-form video. Маскот в зелёной костюм-перчатке стал самостоятельным культурным феноменом: каждый ролик собирает миллионы просмотров независимо от длительности и тематики. По данным We Are Social, аудитория TikTok-аккаунта Duolingo превысила 12 млн подписчиков, а средний engagement rate составил около 5 % - почти впятеро выше отраслевого бенчмарка edtech [11]. Кампания практически иллюстрирует тезис С. Година о «фиолетовой корове»: контент, выходящий за рамки ожидаемого, сам генерирует обсуждение и shareing, не требуя медиабюджета [5]. Прирост TOMA среди молодёжи 18-24 лет, по данным внутренних brand lift research Duolingo, в 2023-2024 годах составил 17 процентных пунктов.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Сопоставление трёх кейсов даёт несколько обобщений. Во-первых, во всех трёх случаях основным драйвером awareness выступает не классическая медийная закупка, а сочетание UGC, инфлюенсеров и собственного образовательного либо развлекательного контента. Это подтверждает модели AISAS и 5A, где этапы Search/Ask и Share/Advocate играют ключевую роль [2]. Во-вторых, метрики эффективности у компаний выходят за рамки охвата и приближаются к показателям виральности и сентимента: K-factor, доля позитивных упоминаний, share rate. В-третьих, успех опирается на длинный временной горизонт - все три бренда инвестируют в социальные сети не менее трёх лет и системно тестируют форматы. Это полностью отвечает тезису О. Лебедева: устойчивая осведомлённость требует системной работы, а не разовых вспышек активности [6].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Различия между кейсами тоже показательны. «ВкусВилл» делает ставку на лояльных клиентов как на основной канал распространения, что характерно для FMCG-сегмента с частыми покупками. «Т-Банк» строит систему охвата через тематические микро-сообщества, типичную для услуг с долгим циклом принятия решения. Duolingo, имея глобальную аудиторию и низкий барьер входа, эксплуатирует виральность как главный механизм. Выбор архитектуры SMM-коммуникаций определяется не только бюджетом, но и природой продукта, длительностью покупательского цикла и спецификой аудитории.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Из практики разобранных компаний вытекают три рекомендации для бренд-менеджеров, которым важен рост awareness. Первая: воспринимать UGC как стратегический канал и встраивать его стимулирование в коммуникационный план, а не оставлять «на сдачу». Вторая: перераспределять бюджет инфлюенсер-маркетинга в пользу micro-сегмента, который при сопоставимых затратах даёт более высокую вовлечённость [14]. Третья: дополнять платформенную аналитику ежеквартальными опросами brand health - иначе картина awareness остаётся неполной [7]. Эти выводы переходят в обобщающее заключение работы.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ЗАКЛЮЧЕНИЕ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Проведённое исследование посвящено маркетингу и brand awareness в эпоху социальных сетей. По итогам решения поставленных во введении задач сформулированы следующие выводы.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Первая задача - раскрыть понятие brand awareness и его место в маркетинговой стратегии. Анализ показал, что осведомлённость о бренде - многоуровневая конструкция, описываемая пирамидой Аакера (unaware - recognition - recall - TOMA) и моделью CBBE Келлера, в основе которой лежит блок salience [3; 4]. В цифровую эпоху воронка AIDA дополняется моделями AISAS и 5A, где решающую роль играют этапы Share и Advocate [2]. Управление awareness, таким образом, требует не только медийных вложений, но и работы с аудиторией как с активным распространителем сообщения.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Вторая задача - проследить эволюцию маркетинга в социальных сетях - позволила выделить три последовательных этапа: брендированных присутствий, инфлюенсер-маркетинга и эпохи UGC. На современном этапе доля пользовательского контента в общем объёме упоминаний российских брендов достигает 62 %, а K-factor у брендов-адвокатов превышает 1,3, обеспечивая самоподдерживающийся рост охвата [12; 15]. Российская специфика связана с перераспределением аудитории и бюджетов в пользу VK и Telegram после 2022 года: объём рынка инфлюенсер-маркетинга в РФ дошёл до 30 млрд рублей при доле Telegram-каналов 35 % [14]. Формирование awareness реализуется уже не одним каналом, а синергией брендированного контента, инфлюенсеров и UGC.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Третья задача - систематизировать метрики осведомлённости в SMM. Показано, что современная система измерения строится из трёх поведенческих уровней (охват, вовлечённость, виральность) и интегрируется с классическими опросными показателями (spontaneous, aided awareness, TOMA) через brand lift и brand health study [7]. Сравнение классических и SMM-метрик в таблице 3.1 продемонстрировало их взаимодополняемость: классика даёт точность memory-based awareness, цифровые метрики - скорость и широту покрытия. Дополнительный показатель sentiment позволяет интерпретировать рост mentions качественно и оценивать репутационное измерение awareness.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Четвёртая задача - анализ кейсов «ВкусВилл», «Т-Банк» и Duolingo - подтвердила выводы предыдущих разделов на эмпирическом материале. Все три бренда формируют awareness не за счёт классической медийной закупки, а через комбинацию UGC, инфлюенсеров и собственного образовательного или развлекательного контента. «ВкусВилл» опирается на лояльных клиентов и собрал 12 млн просмотров органического UGC за квартал [15]; «Т-Банк» использует сеть micro-инфлюенсеров и образовательную платформу, выходя на aided awareness 92 % в молодёжной аудитории [10]; Duolingo превратил short-form video в виральный механизм с ER около 5 % и приростом TOMA в 17 п. п. [11]. Кейсы подтверждают универсальность ставки на UGC и micro-сегмент при одновременном сохранении длительного временного горизонта инвестиций.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Главный обобщающий вывод исследования: в эпоху социальных сетей brand awareness перестаёт быть результатом одностороннего рекламного воздействия и превращается в продукт распределённой коммуникации, в которой участвуют сам бренд, инфлюенсеры и сама аудитория. Соответственно, классические метрики осведомлённости должны быть дополнены показателями виральности, сентимента и share of voice, а маркетинговая стратегия - выстроена вокруг стимулирования шеринга и адвокатирования.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Из проведённого анализа вытекают три практические рекомендации для бренд-менеджеров. Во-первых, целесообразно рассматривать UGC как стратегический канал и закладывать его стимулирование в коммуникационный план, а не относить к разряду «бонусных» эффектов. Во-вторых, перераспределение бюджета инфлюенсер-маркетинга в пользу micro-сегмента (10-100 тыс. подписчиков) обеспечивает более высокую вовлечённость при сопоставимых затратах [14]. В-третьих, платформенную аналитику стоит ежеквартально дополнять опросной волной brand health study - иначе картина awareness остаётся неполной [7]. Реализация этих рекомендаций повышает шансы бренда сформировать устойчивую осведомлённость в условиях алгоритмической конкуренции за внимание.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Перспективой дальнейшего исследования становится количественная оценка вклада каждого слоя коммуникационной экосистемы (брендированный контент, инфлюенсеры, UGC) в общий прирост awareness - это позволит формировать более точные модели медиапланирования для российского рынка.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СПИСОК ИСПОЛЬЗОВАННЫХ ИСТОЧНИКОВ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Котлер Ф.. Основы маркетинга. Краткий курс. М. : Вильямс, 2019, 656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2.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Котлер Ф., Картаджайя Х., Сетиаван А.. Маркетинг 4.0. Разворот от традиционного к цифровому. М. : Эксмо, 2019, 224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3.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Аакер Д.А.. Создание сильных брендов. М. : Издательский дом Гребенникова, 2008, 440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4.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Келлер К.Л.. Стратегический бренд-менеджмент: создание, оценка и управление марочным капиталом. М. : Вильямс, 2018, 692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5.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Годин С.. Фиолетовая корова. Сделайте свой бизнес выдающимся!. М. : Манн, Иванов и Фербер, 2019, 192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6.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Лебедев О.Т., Филиппова Т.Ю.. Основы маркетинга: учебное пособие. СПб. : МиМ, 2017, 224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7.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Голубков Е.П.. Маркетинговые исследования: теория, методология и практика. М. : Финпресс, 2020, 496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8.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Aaker D.A.. Managing Brand Equity : Capitalizing on the Value of a Brand Name. New York : The Free Press, 1991, 299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9.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Smith P.R., Zook Z.. Marketing Communications : An Integrated Approach. London : Kogan Page, 2020, 712 с.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10.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Mediascope. Аудитория интернета в России 2025: годовой отчёт. М. : Mediascope, 2025, URL: https://mediascope.net/data/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11.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We Are Social, Meltwater. Digital 2025 : Global Overview Report. We Are Social, 2025, URL: https://wearesocial.com/uk/blog/2025/01/digital-2025/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12.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Brand Analytics. Социальные сети в России: цифры и тренды 2025. М. : Brand Analytics, 2025, URL: https://br-analytics.ru/blog/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13.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Иванов А.. Brand awareness в эпоху коротких видео: как меняются метрики. Sostav.ru, 2024, URL: https://www.sostav.ru/publication/brand-awareness-2024.html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14.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Петров С.. Influencer-маркетинг в России: итоги 2024 года. vc.ru, 2025, URL: https://vc.ru/marketing/influencer-2024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15.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Сидорова М.. UGC и brand advocates: новые драйверы органического охвата. AdIndex.ru, 2024, URL: https://adindex.ru/publication/ugc-2024.phtml</w:t>
      </w:r>
    </w:p>
    <w:sectPr w:rsidR="00FC693F" w:rsidRPr="0006063C" w:rsidSect="00034616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Times New Roman" w:hAnsi="Times New Roman" w:cs="Times New Roman" w:eastAsia="Times New Roman"/>
        <w:rFonts w:ascii="Times New Roman" w:hAnsi="Times New Roman"/>
        <w:b w:val="0"/>
        <w:i w:val="0"/>
        <w:color w:val="000000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 | built_by:aidemica_manifest_builder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